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napToGrid w:val="0"/>
        <w:spacing w:line="700" w:lineRule="exact"/>
        <w:jc w:val="center"/>
        <w:rPr>
          <w:rFonts w:ascii="华文行楷" w:hAnsi="华文行楷" w:eastAsia="华文行楷" w:cs="宋体"/>
          <w:b/>
          <w:bCs/>
          <w:kern w:val="0"/>
          <w:sz w:val="52"/>
          <w:szCs w:val="52"/>
        </w:rPr>
      </w:pPr>
    </w:p>
    <w:p>
      <w:pPr>
        <w:widowControl/>
        <w:shd w:val="clear" w:color="auto" w:fill="FFFFFF"/>
        <w:snapToGrid w:val="0"/>
        <w:spacing w:line="700" w:lineRule="exact"/>
        <w:jc w:val="center"/>
        <w:rPr>
          <w:rFonts w:ascii="华文行楷" w:hAnsi="华文行楷" w:eastAsia="华文行楷" w:cs="宋体"/>
          <w:b/>
          <w:bCs/>
          <w:kern w:val="0"/>
          <w:sz w:val="52"/>
          <w:szCs w:val="52"/>
        </w:rPr>
      </w:pPr>
      <w:r>
        <w:rPr>
          <w:rFonts w:hint="eastAsia" w:ascii="华文行楷" w:hAnsi="华文行楷" w:eastAsia="华文行楷" w:cs="宋体"/>
          <w:b/>
          <w:bCs/>
          <w:kern w:val="0"/>
          <w:sz w:val="52"/>
          <w:szCs w:val="52"/>
        </w:rPr>
        <w:t>国家税务总局平罗县税务局办</w:t>
      </w:r>
      <w:r>
        <w:rPr>
          <w:rFonts w:hint="eastAsia" w:ascii="华文行楷" w:hAnsi="华文行楷" w:eastAsia="华文行楷" w:cs="宋体"/>
          <w:b/>
          <w:bCs/>
          <w:kern w:val="0"/>
          <w:sz w:val="52"/>
          <w:szCs w:val="52"/>
          <w:lang w:eastAsia="zh-CN"/>
        </w:rPr>
        <w:t>公</w:t>
      </w:r>
      <w:r>
        <w:rPr>
          <w:rFonts w:hint="eastAsia" w:ascii="华文行楷" w:hAnsi="华文行楷" w:eastAsia="华文行楷" w:cs="宋体"/>
          <w:b/>
          <w:bCs/>
          <w:kern w:val="0"/>
          <w:sz w:val="52"/>
          <w:szCs w:val="52"/>
        </w:rPr>
        <w:t>楼</w:t>
      </w:r>
    </w:p>
    <w:p>
      <w:pPr>
        <w:widowControl/>
        <w:shd w:val="clear" w:color="auto" w:fill="FFFFFF"/>
        <w:snapToGrid w:val="0"/>
        <w:spacing w:line="700" w:lineRule="exact"/>
        <w:rPr>
          <w:rFonts w:hint="eastAsia" w:ascii="宋体" w:cs="宋体"/>
          <w:b/>
          <w:bCs/>
          <w:kern w:val="0"/>
          <w:sz w:val="52"/>
          <w:szCs w:val="52"/>
        </w:rPr>
      </w:pPr>
    </w:p>
    <w:p>
      <w:pPr>
        <w:widowControl/>
        <w:shd w:val="clear" w:color="auto" w:fill="FFFFFF"/>
        <w:snapToGrid w:val="0"/>
        <w:spacing w:line="700" w:lineRule="exact"/>
        <w:ind w:firstLine="3915" w:firstLineChars="750"/>
        <w:rPr>
          <w:rFonts w:hint="eastAsia" w:ascii="宋体" w:cs="宋体"/>
          <w:b/>
          <w:bCs/>
          <w:kern w:val="0"/>
          <w:sz w:val="52"/>
          <w:szCs w:val="52"/>
        </w:rPr>
      </w:pPr>
    </w:p>
    <w:p>
      <w:pPr>
        <w:widowControl/>
        <w:shd w:val="clear" w:color="auto" w:fill="FFFFFF"/>
        <w:snapToGrid w:val="0"/>
        <w:spacing w:line="700" w:lineRule="exact"/>
        <w:ind w:firstLine="3915" w:firstLineChars="750"/>
        <w:rPr>
          <w:rFonts w:hint="eastAsia" w:ascii="宋体" w:cs="宋体"/>
          <w:b/>
          <w:bCs/>
          <w:kern w:val="0"/>
          <w:sz w:val="52"/>
          <w:szCs w:val="52"/>
        </w:rPr>
      </w:pPr>
      <w:r>
        <w:rPr>
          <w:rFonts w:hint="eastAsia" w:ascii="宋体" w:cs="宋体"/>
          <w:b/>
          <w:bCs/>
          <w:kern w:val="0"/>
          <w:sz w:val="52"/>
          <w:szCs w:val="52"/>
        </w:rPr>
        <w:t>物</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业</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委</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托</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服</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务</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合</w:t>
      </w:r>
    </w:p>
    <w:p>
      <w:pPr>
        <w:widowControl/>
        <w:shd w:val="clear" w:color="auto" w:fill="FFFFFF"/>
        <w:snapToGrid w:val="0"/>
        <w:spacing w:line="960" w:lineRule="exact"/>
        <w:ind w:firstLine="3915" w:firstLineChars="750"/>
        <w:rPr>
          <w:rFonts w:hint="eastAsia" w:ascii="宋体" w:cs="宋体"/>
          <w:kern w:val="0"/>
          <w:sz w:val="52"/>
          <w:szCs w:val="52"/>
        </w:rPr>
      </w:pPr>
      <w:r>
        <w:rPr>
          <w:rFonts w:hint="eastAsia" w:ascii="宋体" w:cs="宋体"/>
          <w:b/>
          <w:bCs/>
          <w:kern w:val="0"/>
          <w:sz w:val="52"/>
          <w:szCs w:val="52"/>
        </w:rPr>
        <w:t>同</w:t>
      </w:r>
    </w:p>
    <w:p>
      <w:pPr>
        <w:widowControl/>
        <w:shd w:val="clear" w:color="auto" w:fill="FFFFFF"/>
        <w:snapToGrid w:val="0"/>
        <w:spacing w:line="480" w:lineRule="auto"/>
        <w:jc w:val="left"/>
        <w:rPr>
          <w:rFonts w:hint="eastAsia" w:ascii="宋体"/>
          <w:b/>
          <w:bCs/>
          <w:kern w:val="0"/>
          <w:sz w:val="52"/>
          <w:szCs w:val="52"/>
        </w:rPr>
      </w:pPr>
      <w:r>
        <w:rPr>
          <w:rFonts w:hint="eastAsia" w:ascii="宋体"/>
          <w:b/>
          <w:bCs/>
          <w:kern w:val="0"/>
          <w:sz w:val="52"/>
          <w:szCs w:val="52"/>
        </w:rPr>
        <w:t> </w:t>
      </w:r>
    </w:p>
    <w:p>
      <w:pPr>
        <w:widowControl/>
        <w:shd w:val="clear" w:color="auto" w:fill="FFFFFF"/>
        <w:snapToGrid w:val="0"/>
        <w:spacing w:line="480" w:lineRule="auto"/>
        <w:jc w:val="left"/>
        <w:rPr>
          <w:rFonts w:hint="eastAsia" w:ascii="宋体" w:cs="宋体"/>
          <w:kern w:val="0"/>
          <w:sz w:val="32"/>
          <w:szCs w:val="32"/>
        </w:rPr>
      </w:pPr>
    </w:p>
    <w:p>
      <w:pPr>
        <w:widowControl/>
        <w:shd w:val="clear" w:color="auto" w:fill="FFFFFF"/>
        <w:snapToGrid w:val="0"/>
        <w:spacing w:line="480" w:lineRule="auto"/>
        <w:jc w:val="left"/>
        <w:rPr>
          <w:rFonts w:hint="eastAsia" w:ascii="宋体" w:cs="宋体"/>
          <w:kern w:val="0"/>
          <w:sz w:val="32"/>
          <w:szCs w:val="32"/>
        </w:rPr>
      </w:pPr>
      <w:r>
        <w:rPr>
          <w:rFonts w:hint="eastAsia" w:ascii="宋体" w:cs="宋体"/>
          <w:kern w:val="0"/>
          <w:sz w:val="32"/>
          <w:szCs w:val="32"/>
        </w:rPr>
        <w:t>甲方：</w:t>
      </w:r>
      <w:r>
        <w:rPr>
          <w:rFonts w:ascii="宋体" w:cs="宋体"/>
          <w:kern w:val="0"/>
          <w:sz w:val="32"/>
          <w:szCs w:val="32"/>
        </w:rPr>
        <w:t>国家税务总局</w:t>
      </w:r>
      <w:r>
        <w:rPr>
          <w:rFonts w:hint="eastAsia" w:ascii="宋体" w:cs="宋体"/>
          <w:kern w:val="0"/>
          <w:sz w:val="32"/>
          <w:szCs w:val="32"/>
        </w:rPr>
        <w:t>平罗县税务局</w:t>
      </w:r>
    </w:p>
    <w:p>
      <w:pPr>
        <w:widowControl/>
        <w:shd w:val="clear" w:color="auto" w:fill="FFFFFF"/>
        <w:snapToGrid w:val="0"/>
        <w:spacing w:line="420" w:lineRule="atLeast"/>
        <w:jc w:val="left"/>
        <w:rPr>
          <w:rFonts w:hint="eastAsia" w:ascii="宋体" w:cs="宋体"/>
          <w:kern w:val="0"/>
          <w:sz w:val="32"/>
          <w:szCs w:val="32"/>
        </w:rPr>
      </w:pPr>
      <w:r>
        <w:rPr>
          <w:rFonts w:hint="eastAsia" w:ascii="宋体" w:cs="宋体"/>
          <w:kern w:val="0"/>
          <w:sz w:val="32"/>
          <w:szCs w:val="32"/>
        </w:rPr>
        <w:t>乙方：宁夏治信物业服务有限公司银北分公司</w:t>
      </w:r>
    </w:p>
    <w:p>
      <w:pPr>
        <w:widowControl/>
        <w:shd w:val="clear" w:color="auto" w:fill="FFFFFF"/>
        <w:snapToGrid w:val="0"/>
        <w:spacing w:line="420" w:lineRule="atLeast"/>
        <w:rPr>
          <w:rFonts w:hint="eastAsia" w:ascii="宋体" w:cs="宋体"/>
          <w:b/>
          <w:bCs/>
          <w:kern w:val="0"/>
          <w:sz w:val="36"/>
          <w:szCs w:val="44"/>
        </w:rPr>
      </w:pPr>
    </w:p>
    <w:p>
      <w:pPr>
        <w:widowControl/>
        <w:shd w:val="clear" w:color="auto" w:fill="FFFFFF"/>
        <w:snapToGrid w:val="0"/>
        <w:spacing w:line="420" w:lineRule="atLeast"/>
        <w:ind w:firstLine="3312" w:firstLineChars="1100"/>
        <w:rPr>
          <w:rFonts w:hint="eastAsia" w:ascii="宋体" w:cs="宋体"/>
          <w:b/>
          <w:bCs/>
          <w:kern w:val="0"/>
          <w:sz w:val="30"/>
          <w:szCs w:val="30"/>
        </w:rPr>
        <w:sectPr>
          <w:headerReference r:id="rId3" w:type="default"/>
          <w:footerReference r:id="rId4" w:type="default"/>
          <w:pgSz w:w="11906" w:h="16838"/>
          <w:pgMar w:top="1361" w:right="1418" w:bottom="1361" w:left="1418" w:header="851" w:footer="992" w:gutter="0"/>
          <w:pgNumType w:fmt="decimal" w:start="1"/>
          <w:cols w:space="720" w:num="1"/>
          <w:docGrid w:type="lines" w:linePitch="312" w:charSpace="0"/>
        </w:sectPr>
      </w:pPr>
    </w:p>
    <w:p>
      <w:pPr>
        <w:widowControl/>
        <w:shd w:val="clear" w:color="auto" w:fill="FFFFFF"/>
        <w:snapToGrid w:val="0"/>
        <w:spacing w:line="420" w:lineRule="atLeast"/>
        <w:ind w:firstLine="3312" w:firstLineChars="1100"/>
        <w:rPr>
          <w:rFonts w:hint="eastAsia" w:ascii="宋体" w:cs="宋体"/>
          <w:b/>
          <w:bCs/>
          <w:kern w:val="0"/>
          <w:sz w:val="30"/>
          <w:szCs w:val="30"/>
        </w:rPr>
      </w:pPr>
      <w:r>
        <w:rPr>
          <w:rFonts w:hint="eastAsia" w:ascii="宋体" w:cs="宋体"/>
          <w:b/>
          <w:bCs/>
          <w:kern w:val="0"/>
          <w:sz w:val="30"/>
          <w:szCs w:val="30"/>
        </w:rPr>
        <w:t>物业委托服务合同</w:t>
      </w:r>
    </w:p>
    <w:p>
      <w:pPr>
        <w:widowControl/>
        <w:shd w:val="clear" w:color="auto" w:fill="FFFFFF"/>
        <w:snapToGrid w:val="0"/>
        <w:spacing w:line="420" w:lineRule="atLeast"/>
        <w:jc w:val="left"/>
        <w:rPr>
          <w:rFonts w:hint="eastAsia" w:ascii="宋体" w:cs="宋体"/>
          <w:b/>
          <w:bCs/>
          <w:kern w:val="0"/>
          <w:sz w:val="24"/>
        </w:rPr>
      </w:pPr>
    </w:p>
    <w:p>
      <w:pPr>
        <w:widowControl/>
        <w:shd w:val="clear" w:color="auto" w:fill="FFFFFF"/>
        <w:snapToGrid w:val="0"/>
        <w:spacing w:line="420" w:lineRule="atLeast"/>
        <w:jc w:val="left"/>
        <w:rPr>
          <w:rFonts w:hint="eastAsia" w:ascii="宋体" w:cs="宋体"/>
          <w:b/>
          <w:bCs/>
          <w:kern w:val="0"/>
          <w:sz w:val="28"/>
          <w:szCs w:val="28"/>
        </w:rPr>
      </w:pPr>
      <w:r>
        <w:rPr>
          <w:rFonts w:hint="eastAsia" w:ascii="宋体" w:cs="宋体"/>
          <w:b/>
          <w:bCs/>
          <w:kern w:val="0"/>
          <w:sz w:val="28"/>
          <w:szCs w:val="28"/>
        </w:rPr>
        <w:t>甲方：</w:t>
      </w:r>
      <w:r>
        <w:rPr>
          <w:rFonts w:ascii="宋体" w:cs="宋体"/>
          <w:b/>
          <w:bCs/>
          <w:kern w:val="0"/>
          <w:sz w:val="28"/>
          <w:szCs w:val="28"/>
        </w:rPr>
        <w:t>国家税务总局</w:t>
      </w:r>
      <w:r>
        <w:rPr>
          <w:rFonts w:hint="eastAsia" w:ascii="宋体" w:cs="宋体"/>
          <w:b/>
          <w:bCs/>
          <w:kern w:val="0"/>
          <w:sz w:val="28"/>
          <w:szCs w:val="28"/>
        </w:rPr>
        <w:t>平罗县税务局</w:t>
      </w:r>
    </w:p>
    <w:p>
      <w:pPr>
        <w:widowControl/>
        <w:shd w:val="clear" w:color="auto" w:fill="FFFFFF"/>
        <w:snapToGrid w:val="0"/>
        <w:spacing w:line="420" w:lineRule="atLeast"/>
        <w:jc w:val="left"/>
        <w:rPr>
          <w:rFonts w:hint="eastAsia" w:ascii="宋体" w:cs="宋体"/>
          <w:kern w:val="0"/>
          <w:sz w:val="28"/>
          <w:szCs w:val="28"/>
        </w:rPr>
      </w:pPr>
      <w:r>
        <w:rPr>
          <w:rFonts w:hint="eastAsia" w:ascii="宋体" w:cs="宋体"/>
          <w:b/>
          <w:bCs/>
          <w:kern w:val="0"/>
          <w:sz w:val="28"/>
          <w:szCs w:val="28"/>
        </w:rPr>
        <w:t>乙方：宁夏治信物业服务有限公司银北分公司</w:t>
      </w:r>
    </w:p>
    <w:p>
      <w:pPr>
        <w:widowControl/>
        <w:shd w:val="clear" w:color="auto" w:fill="FFFFFF"/>
        <w:snapToGrid w:val="0"/>
        <w:spacing w:line="420" w:lineRule="atLeast"/>
        <w:ind w:firstLine="480" w:firstLineChars="200"/>
        <w:jc w:val="left"/>
        <w:rPr>
          <w:rFonts w:hint="eastAsia" w:ascii="宋体" w:cs="宋体"/>
          <w:kern w:val="0"/>
          <w:sz w:val="24"/>
        </w:rPr>
      </w:pPr>
      <w:r>
        <w:rPr>
          <w:rFonts w:ascii="楷体_GB2312" w:eastAsia="楷体_GB2312" w:cs="宋体"/>
          <w:kern w:val="0"/>
          <w:sz w:val="24"/>
        </w:rPr>
        <w:t>依</w:t>
      </w:r>
      <w:r>
        <w:rPr>
          <w:rFonts w:hint="eastAsia" w:ascii="楷体_GB2312" w:eastAsia="楷体_GB2312" w:cs="宋体"/>
          <w:kern w:val="0"/>
          <w:sz w:val="24"/>
        </w:rPr>
        <w:t>据宁</w:t>
      </w:r>
      <w:r>
        <w:rPr>
          <w:rFonts w:hint="eastAsia" w:ascii="楷体_GB2312" w:eastAsia="楷体_GB2312" w:cs="宋体"/>
          <w:kern w:val="0"/>
          <w:sz w:val="24"/>
          <w:lang w:eastAsia="zh-CN"/>
        </w:rPr>
        <w:t>夏顺捷安达工程管理咨询有限公司</w:t>
      </w:r>
      <w:r>
        <w:rPr>
          <w:rFonts w:hint="eastAsia" w:ascii="楷体_GB2312" w:eastAsia="楷体_GB2312" w:cs="宋体"/>
          <w:kern w:val="0"/>
          <w:sz w:val="24"/>
          <w:lang w:val="en-US" w:eastAsia="zh-CN"/>
        </w:rPr>
        <w:t>NXSJAD</w:t>
      </w:r>
      <w:r>
        <w:rPr>
          <w:rFonts w:hint="eastAsia" w:ascii="楷体_GB2312" w:eastAsia="楷体_GB2312" w:cs="宋体"/>
          <w:kern w:val="0"/>
          <w:sz w:val="24"/>
        </w:rPr>
        <w:t>（采）</w:t>
      </w:r>
      <w:r>
        <w:rPr>
          <w:rFonts w:hint="eastAsia" w:ascii="微软雅黑" w:hAnsi="微软雅黑" w:eastAsia="微软雅黑" w:cs="微软雅黑"/>
          <w:kern w:val="0"/>
          <w:sz w:val="24"/>
        </w:rPr>
        <w:t>【2</w:t>
      </w:r>
      <w:r>
        <w:rPr>
          <w:rFonts w:hint="eastAsia" w:ascii="楷体_GB2312" w:eastAsia="楷体_GB2312" w:cs="宋体"/>
          <w:kern w:val="0"/>
          <w:sz w:val="24"/>
        </w:rPr>
        <w:t>02</w:t>
      </w:r>
      <w:r>
        <w:rPr>
          <w:rFonts w:hint="eastAsia" w:ascii="楷体_GB2312" w:eastAsia="楷体_GB2312" w:cs="宋体"/>
          <w:kern w:val="0"/>
          <w:sz w:val="24"/>
          <w:lang w:val="en-US" w:eastAsia="zh-CN"/>
        </w:rPr>
        <w:t>3</w:t>
      </w:r>
      <w:r>
        <w:rPr>
          <w:rFonts w:hint="eastAsia" w:ascii="微软雅黑" w:hAnsi="微软雅黑" w:eastAsia="微软雅黑" w:cs="微软雅黑"/>
          <w:b/>
          <w:bCs/>
          <w:kern w:val="0"/>
          <w:sz w:val="24"/>
        </w:rPr>
        <w:t>】</w:t>
      </w:r>
      <w:r>
        <w:rPr>
          <w:rFonts w:hint="eastAsia" w:ascii="微软雅黑" w:hAnsi="微软雅黑" w:eastAsia="微软雅黑" w:cs="微软雅黑"/>
          <w:kern w:val="0"/>
          <w:sz w:val="24"/>
        </w:rPr>
        <w:t>第0</w:t>
      </w:r>
      <w:r>
        <w:rPr>
          <w:rFonts w:hint="eastAsia" w:ascii="微软雅黑" w:hAnsi="微软雅黑" w:eastAsia="微软雅黑" w:cs="微软雅黑"/>
          <w:kern w:val="0"/>
          <w:sz w:val="24"/>
          <w:lang w:val="en-US" w:eastAsia="zh-CN"/>
        </w:rPr>
        <w:t>54</w:t>
      </w:r>
      <w:r>
        <w:rPr>
          <w:rFonts w:hint="eastAsia" w:ascii="楷体_GB2312" w:eastAsia="楷体_GB2312" w:cs="宋体"/>
          <w:kern w:val="0"/>
          <w:sz w:val="24"/>
        </w:rPr>
        <w:t>号</w:t>
      </w:r>
      <w:r>
        <w:rPr>
          <w:rFonts w:hint="eastAsia" w:ascii="楷体_GB2312" w:eastAsia="楷体_GB2312" w:cs="宋体"/>
          <w:b/>
          <w:bCs/>
          <w:kern w:val="0"/>
          <w:sz w:val="24"/>
        </w:rPr>
        <w:t>《中标通知书》</w:t>
      </w:r>
      <w:r>
        <w:rPr>
          <w:rFonts w:ascii="楷体_GB2312" w:eastAsia="楷体_GB2312" w:cs="宋体"/>
          <w:kern w:val="0"/>
          <w:sz w:val="24"/>
        </w:rPr>
        <w:t>和</w:t>
      </w:r>
      <w:r>
        <w:rPr>
          <w:rFonts w:hint="eastAsia" w:ascii="楷体_GB2312" w:eastAsia="楷体_GB2312" w:cs="宋体"/>
          <w:kern w:val="0"/>
          <w:sz w:val="24"/>
        </w:rPr>
        <w:t>《物业管理条例》及相关法律法规的规定</w:t>
      </w:r>
      <w:r>
        <w:rPr>
          <w:rFonts w:ascii="楷体_GB2312" w:eastAsia="楷体_GB2312" w:cs="宋体"/>
          <w:kern w:val="0"/>
          <w:sz w:val="24"/>
        </w:rPr>
        <w:t>，</w:t>
      </w:r>
      <w:r>
        <w:rPr>
          <w:rFonts w:hint="eastAsia" w:ascii="楷体_GB2312" w:eastAsia="楷体_GB2312" w:cs="宋体"/>
          <w:kern w:val="0"/>
          <w:sz w:val="24"/>
        </w:rPr>
        <w:t>在相互、平等、协商一致的基础上，甲方将办公楼委托乙方进行物业服务管理。经甲、乙双方协商同意签订物业服务管理合同，服务费用按乙方中标价格执行。双方就物业服务相关事宜，订立本合同。</w:t>
      </w:r>
    </w:p>
    <w:p>
      <w:pPr>
        <w:pStyle w:val="6"/>
        <w:ind w:firstLine="2777" w:firstLineChars="988"/>
        <w:jc w:val="both"/>
        <w:rPr>
          <w:rFonts w:ascii="Arial" w:hAnsi="Arial"/>
          <w:kern w:val="0"/>
          <w:sz w:val="28"/>
          <w:szCs w:val="28"/>
        </w:rPr>
      </w:pPr>
      <w:r>
        <w:rPr>
          <w:rFonts w:hint="eastAsia"/>
          <w:kern w:val="0"/>
          <w:sz w:val="28"/>
          <w:szCs w:val="28"/>
        </w:rPr>
        <w:t>第一章</w:t>
      </w:r>
      <w:r>
        <w:rPr>
          <w:kern w:val="0"/>
          <w:sz w:val="28"/>
          <w:szCs w:val="28"/>
        </w:rPr>
        <w:t>  </w:t>
      </w:r>
      <w:r>
        <w:rPr>
          <w:rFonts w:hint="eastAsia"/>
          <w:kern w:val="0"/>
          <w:sz w:val="28"/>
          <w:szCs w:val="28"/>
        </w:rPr>
        <w:t>物业基本情况</w:t>
      </w:r>
    </w:p>
    <w:p>
      <w:pPr>
        <w:widowControl/>
        <w:shd w:val="clear" w:color="auto" w:fill="FFFFFF"/>
        <w:snapToGrid w:val="0"/>
        <w:spacing w:line="420" w:lineRule="atLeast"/>
        <w:ind w:firstLine="472" w:firstLineChars="196"/>
        <w:jc w:val="left"/>
        <w:rPr>
          <w:rFonts w:hint="eastAsia" w:ascii="宋体" w:cs="宋体"/>
          <w:kern w:val="0"/>
          <w:sz w:val="24"/>
        </w:rPr>
      </w:pPr>
      <w:r>
        <w:rPr>
          <w:rFonts w:hint="eastAsia" w:eastAsia="楷体_GB2312"/>
          <w:b/>
          <w:kern w:val="0"/>
          <w:sz w:val="24"/>
        </w:rPr>
        <w:t>第一条</w:t>
      </w:r>
      <w:r>
        <w:rPr>
          <w:kern w:val="0"/>
          <w:sz w:val="24"/>
        </w:rPr>
        <w:t>  </w:t>
      </w:r>
      <w:r>
        <w:rPr>
          <w:rFonts w:hint="eastAsia" w:ascii="楷体_GB2312" w:eastAsia="楷体_GB2312" w:cs="宋体"/>
          <w:kern w:val="0"/>
          <w:sz w:val="24"/>
        </w:rPr>
        <w:t>物业管理区域概况</w:t>
      </w:r>
    </w:p>
    <w:p>
      <w:pPr>
        <w:widowControl/>
        <w:shd w:val="clear" w:color="auto" w:fill="FFFFFF"/>
        <w:snapToGrid w:val="0"/>
        <w:spacing w:line="420" w:lineRule="atLeast"/>
        <w:ind w:firstLine="470" w:firstLineChars="196"/>
        <w:jc w:val="left"/>
        <w:rPr>
          <w:rFonts w:hint="eastAsia" w:ascii="宋体" w:cs="宋体"/>
          <w:kern w:val="0"/>
          <w:sz w:val="24"/>
        </w:rPr>
      </w:pPr>
      <w:r>
        <w:rPr>
          <w:rFonts w:hint="eastAsia" w:ascii="楷体_GB2312" w:eastAsia="楷体_GB2312" w:cs="宋体"/>
          <w:kern w:val="0"/>
          <w:sz w:val="24"/>
        </w:rPr>
        <w:t>物业名称：</w:t>
      </w:r>
      <w:r>
        <w:rPr>
          <w:rFonts w:hint="eastAsia" w:ascii="楷体_GB2312" w:hAnsi="宋体" w:eastAsia="楷体_GB2312" w:cs="宋体"/>
          <w:kern w:val="0"/>
          <w:sz w:val="24"/>
          <w:u w:val="single"/>
        </w:rPr>
        <w:t>国家税务总局平罗县税务局</w:t>
      </w:r>
      <w:r>
        <w:rPr>
          <w:rFonts w:hint="eastAsia" w:ascii="楷体_GB2312" w:eastAsia="楷体_GB2312" w:cs="宋体"/>
          <w:kern w:val="0"/>
          <w:sz w:val="24"/>
        </w:rPr>
        <w:t>；</w:t>
      </w:r>
    </w:p>
    <w:p>
      <w:pPr>
        <w:widowControl/>
        <w:shd w:val="clear" w:color="auto" w:fill="FFFFFF"/>
        <w:snapToGrid w:val="0"/>
        <w:spacing w:line="420" w:lineRule="atLeast"/>
        <w:ind w:firstLine="470" w:firstLineChars="196"/>
        <w:jc w:val="left"/>
        <w:rPr>
          <w:rFonts w:hint="eastAsia" w:ascii="宋体" w:cs="宋体"/>
          <w:kern w:val="0"/>
          <w:sz w:val="24"/>
        </w:rPr>
      </w:pPr>
      <w:r>
        <w:rPr>
          <w:rFonts w:hint="eastAsia" w:ascii="楷体_GB2312" w:eastAsia="楷体_GB2312" w:cs="宋体"/>
          <w:kern w:val="0"/>
          <w:sz w:val="24"/>
        </w:rPr>
        <w:t>物业类型：</w:t>
      </w:r>
      <w:r>
        <w:rPr>
          <w:rFonts w:hint="eastAsia" w:ascii="楷体_GB2312" w:eastAsia="楷体_GB2312" w:cs="宋体"/>
          <w:kern w:val="0"/>
          <w:sz w:val="24"/>
          <w:u w:val="single"/>
        </w:rPr>
        <w:t>办公楼</w:t>
      </w:r>
      <w:r>
        <w:rPr>
          <w:rFonts w:hint="eastAsia" w:ascii="楷体_GB2312" w:eastAsia="楷体_GB2312" w:cs="宋体"/>
          <w:kern w:val="0"/>
          <w:sz w:val="24"/>
        </w:rPr>
        <w:t>；</w:t>
      </w:r>
    </w:p>
    <w:p>
      <w:pPr>
        <w:widowControl/>
        <w:ind w:firstLine="480" w:firstLineChars="200"/>
        <w:jc w:val="left"/>
        <w:rPr>
          <w:rFonts w:ascii="楷体_GB2312" w:hAnsi="楷体_GB2312" w:eastAsia="楷体_GB2312" w:cs="楷体_GB2312"/>
          <w:color w:val="000000"/>
          <w:kern w:val="0"/>
          <w:sz w:val="24"/>
          <w:u w:val="single"/>
        </w:rPr>
      </w:pPr>
      <w:r>
        <w:rPr>
          <w:rFonts w:hint="eastAsia" w:ascii="楷体_GB2312" w:eastAsia="楷体_GB2312" w:cs="宋体"/>
          <w:kern w:val="0"/>
          <w:sz w:val="24"/>
          <w:lang w:eastAsia="zh-CN"/>
        </w:rPr>
        <w:t>坐</w:t>
      </w:r>
      <w:bookmarkStart w:id="5" w:name="_GoBack"/>
      <w:bookmarkEnd w:id="5"/>
      <w:r>
        <w:rPr>
          <w:rFonts w:hint="eastAsia" w:ascii="楷体_GB2312" w:eastAsia="楷体_GB2312" w:cs="宋体"/>
          <w:kern w:val="0"/>
          <w:sz w:val="24"/>
        </w:rPr>
        <w:t>落位置：</w:t>
      </w:r>
      <w:r>
        <w:rPr>
          <w:rFonts w:hint="eastAsia" w:ascii="楷体_GB2312" w:hAnsi="宋体" w:eastAsia="楷体_GB2312" w:cs="宋体"/>
          <w:kern w:val="0"/>
          <w:sz w:val="24"/>
          <w:u w:val="single"/>
        </w:rPr>
        <w:t>平罗县</w:t>
      </w:r>
      <w:r>
        <w:rPr>
          <w:rFonts w:hint="eastAsia" w:ascii="楷体_GB2312" w:hAnsi="楷体_GB2312" w:eastAsia="楷体_GB2312" w:cs="楷体_GB2312"/>
          <w:color w:val="000000"/>
          <w:kern w:val="0"/>
          <w:sz w:val="24"/>
          <w:u w:val="single"/>
        </w:rPr>
        <w:t>民族北街西侧</w:t>
      </w:r>
    </w:p>
    <w:p>
      <w:pPr>
        <w:widowControl/>
        <w:shd w:val="clear" w:color="auto" w:fill="FFFFFF"/>
        <w:snapToGrid w:val="0"/>
        <w:spacing w:line="420" w:lineRule="atLeast"/>
        <w:ind w:firstLine="480" w:firstLineChars="200"/>
        <w:jc w:val="left"/>
        <w:rPr>
          <w:rFonts w:hint="eastAsia" w:ascii="宋体" w:cs="宋体"/>
          <w:kern w:val="0"/>
          <w:sz w:val="24"/>
        </w:rPr>
      </w:pPr>
      <w:r>
        <w:rPr>
          <w:rFonts w:hint="eastAsia" w:ascii="楷体_GB2312" w:eastAsia="楷体_GB2312" w:cs="宋体"/>
          <w:kern w:val="0"/>
          <w:sz w:val="24"/>
        </w:rPr>
        <w:t>总建筑面积：</w:t>
      </w:r>
      <w:r>
        <w:rPr>
          <w:rFonts w:hint="eastAsia" w:ascii="楷体_GB2312" w:eastAsia="楷体_GB2312" w:cs="宋体"/>
          <w:kern w:val="0"/>
          <w:sz w:val="24"/>
          <w:u w:val="single"/>
          <w:lang w:val="en-US" w:eastAsia="zh-CN"/>
        </w:rPr>
        <w:t>16795.89</w:t>
      </w:r>
      <w:r>
        <w:rPr>
          <w:rFonts w:hint="eastAsia" w:ascii="楷体_GB2312" w:eastAsia="楷体_GB2312" w:cs="宋体"/>
          <w:kern w:val="0"/>
          <w:sz w:val="24"/>
          <w:u w:val="single"/>
        </w:rPr>
        <w:t>平米</w:t>
      </w:r>
      <w:r>
        <w:rPr>
          <w:rFonts w:hint="eastAsia" w:ascii="楷体_GB2312" w:eastAsia="楷体_GB2312" w:cs="宋体"/>
          <w:kern w:val="0"/>
          <w:sz w:val="24"/>
        </w:rPr>
        <w:t>；</w:t>
      </w:r>
    </w:p>
    <w:p>
      <w:pPr>
        <w:pStyle w:val="6"/>
        <w:ind w:firstLine="2768" w:firstLineChars="985"/>
        <w:jc w:val="both"/>
        <w:rPr>
          <w:rFonts w:ascii="Arial" w:hAnsi="Arial"/>
          <w:kern w:val="0"/>
          <w:sz w:val="28"/>
          <w:szCs w:val="28"/>
        </w:rPr>
      </w:pPr>
      <w:r>
        <w:rPr>
          <w:rFonts w:hint="eastAsia"/>
          <w:kern w:val="0"/>
          <w:sz w:val="28"/>
          <w:szCs w:val="28"/>
        </w:rPr>
        <w:t>第二章物业管理服务事项与标准</w:t>
      </w:r>
    </w:p>
    <w:p>
      <w:pPr>
        <w:widowControl/>
        <w:shd w:val="clear" w:color="auto" w:fill="FFFFFF"/>
        <w:snapToGrid w:val="0"/>
        <w:spacing w:line="420" w:lineRule="atLeast"/>
        <w:ind w:firstLine="480"/>
        <w:jc w:val="left"/>
        <w:rPr>
          <w:rFonts w:hint="eastAsia" w:ascii="宋体" w:cs="宋体"/>
          <w:kern w:val="0"/>
          <w:sz w:val="24"/>
        </w:rPr>
      </w:pPr>
      <w:r>
        <w:rPr>
          <w:rFonts w:hint="eastAsia" w:eastAsia="楷体_GB2312"/>
          <w:b/>
          <w:kern w:val="0"/>
          <w:sz w:val="24"/>
        </w:rPr>
        <w:t>第二条</w:t>
      </w:r>
      <w:r>
        <w:rPr>
          <w:kern w:val="0"/>
          <w:sz w:val="24"/>
        </w:rPr>
        <w:t>  </w:t>
      </w:r>
      <w:r>
        <w:rPr>
          <w:rFonts w:hint="eastAsia" w:ascii="楷体_GB2312" w:eastAsia="楷体_GB2312" w:cs="宋体"/>
          <w:kern w:val="0"/>
          <w:sz w:val="24"/>
        </w:rPr>
        <w:t>乙方提供的公共性物业管理服务的人员及主要服务内容为：</w:t>
      </w:r>
    </w:p>
    <w:p>
      <w:pPr>
        <w:spacing w:line="400" w:lineRule="exact"/>
        <w:rPr>
          <w:rFonts w:ascii="楷体_GB2312" w:hAnsi="楷体_GB2312" w:eastAsia="楷体_GB2312" w:cs="楷体_GB2312"/>
          <w:kern w:val="0"/>
          <w:sz w:val="24"/>
        </w:rPr>
      </w:pPr>
      <w:r>
        <w:rPr>
          <w:rFonts w:ascii="楷体_GB2312" w:eastAsia="楷体_GB2312" w:cs="宋体"/>
          <w:kern w:val="0"/>
          <w:sz w:val="24"/>
        </w:rPr>
        <w:t>1.</w:t>
      </w:r>
      <w:r>
        <w:rPr>
          <w:rFonts w:hint="eastAsia" w:ascii="楷体_GB2312" w:eastAsia="楷体_GB2312" w:cs="宋体"/>
          <w:kern w:val="0"/>
          <w:sz w:val="24"/>
        </w:rPr>
        <w:t>人员配备：</w:t>
      </w:r>
      <w:r>
        <w:rPr>
          <w:rFonts w:hint="eastAsia" w:ascii="楷体_GB2312" w:hAnsi="楷体_GB2312" w:eastAsia="楷体_GB2312" w:cs="楷体_GB2312"/>
          <w:kern w:val="0"/>
          <w:sz w:val="24"/>
          <w:shd w:val="clear" w:color="auto" w:fill="FFFFFF"/>
        </w:rPr>
        <w:t>本次服务所需的</w:t>
      </w:r>
      <w:r>
        <w:rPr>
          <w:rFonts w:hint="eastAsia" w:ascii="楷体_GB2312" w:hAnsi="楷体_GB2312" w:eastAsia="楷体_GB2312" w:cs="楷体_GB2312"/>
          <w:kern w:val="0"/>
          <w:sz w:val="24"/>
          <w:shd w:val="clear" w:color="auto" w:fill="FFFFFF"/>
          <w:lang w:val="en-US" w:eastAsia="zh-CN"/>
        </w:rPr>
        <w:t>22</w:t>
      </w:r>
      <w:r>
        <w:rPr>
          <w:rFonts w:hint="eastAsia" w:ascii="楷体_GB2312" w:hAnsi="楷体_GB2312" w:eastAsia="楷体_GB2312" w:cs="楷体_GB2312"/>
          <w:kern w:val="0"/>
          <w:sz w:val="24"/>
          <w:shd w:val="clear" w:color="auto" w:fill="FFFFFF"/>
        </w:rPr>
        <w:t>人为最低要求人员限制，各服务单位可根据自身要求适当增加人员</w:t>
      </w:r>
      <w:r>
        <w:rPr>
          <w:rFonts w:hint="eastAsia" w:ascii="楷体_GB2312" w:hAnsi="楷体_GB2312" w:eastAsia="楷体_GB2312" w:cs="楷体_GB2312"/>
          <w:kern w:val="0"/>
          <w:sz w:val="24"/>
        </w:rPr>
        <w:t>；</w:t>
      </w:r>
    </w:p>
    <w:p>
      <w:pPr>
        <w:widowControl/>
        <w:jc w:val="left"/>
        <w:rPr>
          <w:rFonts w:hint="eastAsia" w:ascii="楷体_GB2312" w:hAnsi="楷体_GB2312" w:eastAsia="楷体_GB2312" w:cs="楷体_GB2312"/>
          <w:sz w:val="24"/>
          <w:lang w:eastAsia="zh-CN"/>
        </w:rPr>
      </w:pPr>
      <w:r>
        <w:rPr>
          <w:rFonts w:hint="eastAsia" w:ascii="宋体" w:cs="宋体"/>
          <w:kern w:val="0"/>
          <w:sz w:val="24"/>
          <w:shd w:val="clear" w:color="auto" w:fill="FFFFFF"/>
        </w:rPr>
        <w:t>2.</w:t>
      </w:r>
      <w:r>
        <w:rPr>
          <w:rFonts w:hint="eastAsia" w:ascii="楷体_GB2312" w:eastAsia="楷体_GB2312" w:cs="楷体_GB2312"/>
          <w:kern w:val="0"/>
          <w:sz w:val="24"/>
          <w:shd w:val="clear" w:color="auto" w:fill="FFFFFF"/>
        </w:rPr>
        <w:t>服务项目</w:t>
      </w:r>
      <w:r>
        <w:rPr>
          <w:rFonts w:hint="eastAsia" w:ascii="宋体" w:hAnsi="宋体" w:cs="宋体"/>
          <w:color w:val="000000"/>
          <w:kern w:val="0"/>
          <w:sz w:val="24"/>
        </w:rPr>
        <w:t>：</w:t>
      </w:r>
      <w:r>
        <w:rPr>
          <w:rFonts w:hint="eastAsia" w:ascii="楷体_GB2312" w:hAnsi="楷体_GB2312" w:eastAsia="楷体_GB2312" w:cs="楷体_GB2312"/>
          <w:color w:val="000000"/>
          <w:kern w:val="0"/>
          <w:sz w:val="24"/>
        </w:rPr>
        <w:t>（1）国家税务总局平罗县税务局机关办公楼物业服务；（2）国家税务总局平罗县税务局第二税务分局、城关税务分局（贺兰山路办公区））办公楼物业服务；（3）国家税务总局平罗县税务局陶乐税务分局办公楼物业服务； （4）国家税务总局平罗县税务局姚伏税务分局办公楼物业服务；（5）国家税务总局平罗县税务局崇岗税务分局办公楼物业服务</w:t>
      </w:r>
      <w:r>
        <w:rPr>
          <w:rFonts w:hint="eastAsia" w:ascii="楷体_GB2312" w:hAnsi="楷体_GB2312" w:eastAsia="楷体_GB2312" w:cs="楷体_GB2312"/>
          <w:color w:val="000000"/>
          <w:kern w:val="0"/>
          <w:sz w:val="24"/>
          <w:lang w:eastAsia="zh-CN"/>
        </w:rPr>
        <w:t>。</w:t>
      </w:r>
    </w:p>
    <w:p>
      <w:pPr>
        <w:spacing w:line="400" w:lineRule="exact"/>
        <w:rPr>
          <w:rFonts w:hint="eastAsia" w:ascii="楷体_GB2312" w:eastAsia="楷体_GB2312" w:cs="楷体_GB2312"/>
          <w:kern w:val="0"/>
          <w:sz w:val="24"/>
          <w:shd w:val="clear" w:color="auto" w:fill="FFFFFF"/>
        </w:rPr>
      </w:pPr>
      <w:r>
        <w:rPr>
          <w:rFonts w:hint="eastAsia" w:ascii="楷体_GB2312" w:eastAsia="楷体_GB2312" w:cs="楷体_GB2312"/>
          <w:kern w:val="0"/>
          <w:sz w:val="24"/>
          <w:shd w:val="clear" w:color="auto" w:fill="FFFFFF"/>
        </w:rPr>
        <w:t>3、服务范围：为办公楼主楼、附楼内所有的房间及设备、设施，各领导办公室内设施设备及用具保洁、花木养护，会议室、接待室的设施及用具保洁，各楼层的卫生间（卫生纸、洗手液、清洗及消毒用品摆放），各分局办公楼公共区域的环境卫生清扫及垃圾处理，办公区域内树木绿化养护，平罗县税务局机关菜园日常管理。</w:t>
      </w:r>
      <w:r>
        <w:rPr>
          <w:rFonts w:hint="eastAsia" w:ascii="楷体_GB2312" w:eastAsia="楷体_GB2312" w:cs="楷体_GB2312"/>
          <w:kern w:val="0"/>
          <w:sz w:val="24"/>
          <w:shd w:val="clear" w:color="auto" w:fill="FFFFFF"/>
          <w:lang w:eastAsia="zh-CN"/>
        </w:rPr>
        <w:t>不</w:t>
      </w:r>
      <w:r>
        <w:rPr>
          <w:rFonts w:hint="eastAsia" w:ascii="楷体_GB2312" w:eastAsia="楷体_GB2312" w:cs="楷体_GB2312"/>
          <w:kern w:val="0"/>
          <w:sz w:val="24"/>
          <w:shd w:val="clear" w:color="auto" w:fill="FFFFFF"/>
        </w:rPr>
        <w:t>包括：全部上下水、强弱电系统、道路、停车场、门窗、家具、设备及其附属的排水管道、阀门、排污管道的疏通、清理等。</w:t>
      </w:r>
    </w:p>
    <w:p>
      <w:pPr>
        <w:spacing w:line="400" w:lineRule="exact"/>
        <w:rPr>
          <w:rFonts w:hint="eastAsia" w:ascii="楷体_GB2312" w:eastAsia="楷体_GB2312" w:cs="楷体_GB2312"/>
          <w:kern w:val="0"/>
          <w:sz w:val="24"/>
          <w:shd w:val="clear" w:color="auto" w:fill="FFFFFF"/>
        </w:rPr>
      </w:pPr>
      <w:r>
        <w:rPr>
          <w:rFonts w:hint="eastAsia" w:ascii="楷体_GB2312" w:eastAsia="楷体_GB2312" w:cs="楷体_GB2312"/>
          <w:kern w:val="0"/>
          <w:sz w:val="24"/>
          <w:shd w:val="clear" w:color="auto" w:fill="FFFFFF"/>
        </w:rPr>
        <w:t>4、服务接待：来人就餐服务接待，做好餐前服务准备工作，就餐过程中服务工作，餐具整理及就餐环境的卫生保洁。</w:t>
      </w:r>
    </w:p>
    <w:p>
      <w:pPr>
        <w:autoSpaceDE w:val="0"/>
        <w:autoSpaceDN w:val="0"/>
        <w:adjustRightInd w:val="0"/>
        <w:spacing w:beforeLines="50" w:afterLines="50" w:line="500" w:lineRule="exact"/>
        <w:ind w:right="81"/>
        <w:rPr>
          <w:rFonts w:hint="eastAsia" w:ascii="楷体_GB2312" w:eastAsia="楷体_GB2312" w:cs="楷体_GB2312"/>
          <w:sz w:val="24"/>
        </w:rPr>
      </w:pPr>
      <w:r>
        <w:rPr>
          <w:rFonts w:hint="eastAsia" w:ascii="楷体_GB2312" w:eastAsia="楷体_GB2312" w:cs="楷体_GB2312"/>
          <w:b/>
          <w:bCs/>
          <w:sz w:val="24"/>
        </w:rPr>
        <w:t>第三条</w:t>
      </w:r>
      <w:r>
        <w:rPr>
          <w:rFonts w:hint="eastAsia" w:ascii="楷体_GB2312" w:eastAsia="楷体_GB2312" w:cs="楷体_GB2312"/>
          <w:sz w:val="24"/>
        </w:rPr>
        <w:t xml:space="preserve">  公共秩序维护方案</w:t>
      </w:r>
    </w:p>
    <w:p>
      <w:pPr>
        <w:autoSpaceDE w:val="0"/>
        <w:autoSpaceDN w:val="0"/>
        <w:adjustRightInd w:val="0"/>
        <w:spacing w:beforeLines="50" w:afterLines="50" w:line="500" w:lineRule="exact"/>
        <w:ind w:right="81"/>
        <w:rPr>
          <w:rFonts w:hint="eastAsia" w:ascii="楷体_GB2312" w:eastAsia="楷体_GB2312" w:cs="楷体_GB2312"/>
          <w:b/>
          <w:sz w:val="24"/>
        </w:rPr>
      </w:pPr>
      <w:r>
        <w:rPr>
          <w:rFonts w:hint="eastAsia" w:ascii="楷体_GB2312" w:eastAsia="楷体_GB2312" w:cs="楷体_GB2312"/>
          <w:b/>
          <w:sz w:val="24"/>
        </w:rPr>
        <w:t>一、安防</w:t>
      </w:r>
    </w:p>
    <w:p>
      <w:pPr>
        <w:autoSpaceDE w:val="0"/>
        <w:autoSpaceDN w:val="0"/>
        <w:adjustRightInd w:val="0"/>
        <w:spacing w:beforeLines="50" w:afterLines="50" w:line="500" w:lineRule="exact"/>
        <w:ind w:right="81"/>
        <w:rPr>
          <w:rFonts w:hint="eastAsia" w:ascii="楷体_GB2312" w:eastAsia="楷体_GB2312" w:cs="楷体_GB2312"/>
          <w:sz w:val="24"/>
        </w:rPr>
      </w:pPr>
      <w:r>
        <w:rPr>
          <w:rFonts w:hint="eastAsia" w:ascii="楷体_GB2312" w:eastAsia="楷体_GB2312" w:cs="楷体_GB2312"/>
          <w:sz w:val="24"/>
        </w:rPr>
        <w:t>1．工作内容自动报警系统的运行管理。传达、秩序维护、制度管理是指为保证</w:t>
      </w:r>
    </w:p>
    <w:p>
      <w:pPr>
        <w:autoSpaceDE w:val="0"/>
        <w:autoSpaceDN w:val="0"/>
        <w:adjustRightInd w:val="0"/>
        <w:spacing w:beforeLines="50" w:afterLines="50" w:line="500" w:lineRule="exact"/>
        <w:ind w:right="81"/>
        <w:rPr>
          <w:rFonts w:hint="eastAsia" w:ascii="楷体_GB2312" w:eastAsia="楷体_GB2312" w:cs="楷体_GB2312"/>
          <w:sz w:val="24"/>
        </w:rPr>
      </w:pPr>
      <w:r>
        <w:rPr>
          <w:rFonts w:hint="eastAsia" w:ascii="楷体_GB2312" w:eastAsia="楷体_GB2312" w:cs="楷体_GB2312"/>
          <w:sz w:val="24"/>
        </w:rPr>
        <w:t>大楼安全和正常工作秩序，保证监控系统、自动报警系统正常运行，对来人来访进行登记、查验和物品外出查验，做好安全保卫和防火防盗工作，并做好车辆、道路及环境秩序管理等。</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①为办公大楼提供全方位有效的秩序维护服务，包括对大楼安全出入区域的控制、阻止无关人员进入大楼。</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②负责维护大楼正常工作秩序，应付和处置意外突发事件。</w:t>
      </w:r>
    </w:p>
    <w:p>
      <w:pPr>
        <w:spacing w:line="500" w:lineRule="exact"/>
        <w:rPr>
          <w:rFonts w:hint="eastAsia" w:ascii="楷体_GB2312" w:eastAsia="楷体_GB2312" w:cs="楷体_GB2312"/>
          <w:sz w:val="24"/>
        </w:rPr>
      </w:pPr>
      <w:r>
        <w:rPr>
          <w:rFonts w:hint="eastAsia" w:ascii="楷体_GB2312" w:eastAsia="楷体_GB2312" w:cs="楷体_GB2312"/>
          <w:sz w:val="24"/>
        </w:rPr>
        <w:t>③对大楼实施秩序维护巡更，从而有效及时的发现各种治安、消防隐患、漏洞。</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④对大楼外围区域实施秩序维护巡更，及时疏导车辆、疏散闲散滞留人员，维护门前秩序、确保道路畅通。</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⑤负责大楼内的警戒守护和巡视检查，对来人来访要进行登记、查验。</w:t>
      </w:r>
    </w:p>
    <w:p>
      <w:pPr>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⑥负责监控系统、自动报警系统的正常运行。</w:t>
      </w:r>
    </w:p>
    <w:p>
      <w:pPr>
        <w:tabs>
          <w:tab w:val="left" w:pos="234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⑦对大楼发生的各类事件，立即报告，并采取相应措施予以控制，同时保护现场，维护现场秩序，避免事态扩大。</w:t>
      </w:r>
    </w:p>
    <w:p>
      <w:pPr>
        <w:tabs>
          <w:tab w:val="left" w:pos="234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⑧配合处理大楼发生的治安、消防方面情况和问题。若遇突发事件，应按应急方案进行实施。发生突发事件，在第一时间报告甲方办公室负责人。</w:t>
      </w:r>
    </w:p>
    <w:p>
      <w:pPr>
        <w:tabs>
          <w:tab w:val="left" w:pos="234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⑨当发生群体性事件，干扰、破坏大楼正常的工作、生活秩序时，秩序维护员应将有关情况及时上报项目执行经理和秩序维护部负责人。</w:t>
      </w:r>
    </w:p>
    <w:p>
      <w:pPr>
        <w:snapToGrid w:val="0"/>
        <w:spacing w:beforeLines="50" w:afterLines="50" w:line="560" w:lineRule="exact"/>
        <w:rPr>
          <w:rFonts w:hint="eastAsia" w:ascii="楷体_GB2312" w:eastAsia="楷体_GB2312" w:cs="楷体_GB2312"/>
          <w:b/>
          <w:sz w:val="24"/>
        </w:rPr>
      </w:pPr>
      <w:r>
        <w:rPr>
          <w:rFonts w:hint="eastAsia" w:ascii="楷体_GB2312" w:eastAsia="楷体_GB2312" w:cs="楷体_GB2312"/>
          <w:b/>
          <w:sz w:val="24"/>
        </w:rPr>
        <w:t xml:space="preserve">   二、秩序维护日常工作计划</w:t>
      </w:r>
    </w:p>
    <w:tbl>
      <w:tblPr>
        <w:tblStyle w:val="7"/>
        <w:tblW w:w="91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5"/>
        <w:gridCol w:w="2977"/>
        <w:gridCol w:w="44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2" w:hRule="atLeast"/>
          <w:jc w:val="center"/>
        </w:trPr>
        <w:tc>
          <w:tcPr>
            <w:tcW w:w="1755"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项 目</w:t>
            </w: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区 域</w:t>
            </w:r>
          </w:p>
        </w:tc>
        <w:tc>
          <w:tcPr>
            <w:tcW w:w="4446"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频 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restart"/>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巡视</w:t>
            </w: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大楼内部公共区域</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24小时不间断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大楼外围</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上班时间不间断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消防设施、器材</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每周不少于1次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安全部位</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每日不少于1次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restart"/>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培训</w:t>
            </w: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体能</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每月至少一次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员工思想及素质教育</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每月至少一次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岗位、技能</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每月至少一次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1" w:hRule="atLeast"/>
          <w:jc w:val="center"/>
        </w:trPr>
        <w:tc>
          <w:tcPr>
            <w:tcW w:w="1755" w:type="dxa"/>
            <w:vMerge w:val="restart"/>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其他工作</w:t>
            </w: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消防安全检查</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配合政府部门工作</w:t>
            </w:r>
          </w:p>
          <w:p>
            <w:pPr>
              <w:spacing w:line="560" w:lineRule="exact"/>
              <w:rPr>
                <w:rFonts w:hint="eastAsia" w:ascii="楷体_GB2312" w:eastAsia="楷体_GB2312" w:cs="楷体_GB2312"/>
                <w:sz w:val="24"/>
              </w:rPr>
            </w:pPr>
            <w:r>
              <w:rPr>
                <w:rFonts w:hint="eastAsia" w:ascii="楷体_GB2312" w:eastAsia="楷体_GB2312" w:cs="楷体_GB2312"/>
                <w:sz w:val="24"/>
              </w:rPr>
              <w:t>对所管辖区域每日不少于一次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施工现场安检</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每周不少于3次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受理报案</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随时受理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重要节日安全工作</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五一、十一、元旦、春节国家规定的其他节日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后勤保障</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按公司要求发放登记该发放物品</w:t>
            </w:r>
          </w:p>
          <w:p>
            <w:pPr>
              <w:spacing w:line="560" w:lineRule="exact"/>
              <w:rPr>
                <w:rFonts w:hint="eastAsia" w:ascii="楷体_GB2312" w:eastAsia="楷体_GB2312" w:cs="楷体_GB2312"/>
                <w:sz w:val="24"/>
              </w:rPr>
            </w:pPr>
            <w:r>
              <w:rPr>
                <w:rFonts w:hint="eastAsia" w:ascii="楷体_GB2312" w:eastAsia="楷体_GB2312" w:cs="楷体_GB2312"/>
                <w:sz w:val="24"/>
              </w:rPr>
              <w:t>每月考勤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755" w:type="dxa"/>
            <w:vMerge w:val="continue"/>
            <w:vAlign w:val="center"/>
          </w:tcPr>
          <w:p>
            <w:pPr>
              <w:rPr>
                <w:rFonts w:hint="eastAsia"/>
                <w:sz w:val="24"/>
              </w:rPr>
            </w:pPr>
          </w:p>
        </w:tc>
        <w:tc>
          <w:tcPr>
            <w:tcW w:w="2977" w:type="dxa"/>
            <w:vAlign w:val="center"/>
          </w:tcPr>
          <w:p>
            <w:pPr>
              <w:spacing w:line="560" w:lineRule="exact"/>
              <w:jc w:val="center"/>
              <w:rPr>
                <w:rFonts w:hint="eastAsia" w:ascii="楷体_GB2312" w:eastAsia="楷体_GB2312" w:cs="楷体_GB2312"/>
                <w:sz w:val="24"/>
              </w:rPr>
            </w:pPr>
            <w:r>
              <w:rPr>
                <w:rFonts w:hint="eastAsia" w:ascii="楷体_GB2312" w:eastAsia="楷体_GB2312" w:cs="楷体_GB2312"/>
                <w:sz w:val="24"/>
              </w:rPr>
              <w:t>档案管理</w:t>
            </w:r>
          </w:p>
        </w:tc>
        <w:tc>
          <w:tcPr>
            <w:tcW w:w="4446" w:type="dxa"/>
            <w:vAlign w:val="center"/>
          </w:tcPr>
          <w:p>
            <w:pPr>
              <w:spacing w:line="560" w:lineRule="exact"/>
              <w:rPr>
                <w:rFonts w:hint="eastAsia" w:ascii="楷体_GB2312" w:eastAsia="楷体_GB2312" w:cs="楷体_GB2312"/>
                <w:sz w:val="24"/>
              </w:rPr>
            </w:pPr>
            <w:r>
              <w:rPr>
                <w:rFonts w:hint="eastAsia" w:ascii="楷体_GB2312" w:eastAsia="楷体_GB2312" w:cs="楷体_GB2312"/>
                <w:sz w:val="24"/>
              </w:rPr>
              <w:t>按公司要求对各类档案进行管理每日不少于清理一次</w:t>
            </w:r>
          </w:p>
        </w:tc>
      </w:tr>
    </w:tbl>
    <w:p>
      <w:pPr>
        <w:spacing w:line="500" w:lineRule="exact"/>
        <w:ind w:firstLine="481" w:firstLineChars="200"/>
        <w:rPr>
          <w:rFonts w:hint="eastAsia" w:ascii="楷体_GB2312" w:eastAsia="楷体_GB2312" w:cs="楷体_GB2312"/>
          <w:b/>
          <w:sz w:val="24"/>
        </w:rPr>
      </w:pPr>
      <w:r>
        <w:rPr>
          <w:rFonts w:hint="eastAsia" w:ascii="楷体_GB2312" w:eastAsia="楷体_GB2312" w:cs="楷体_GB2312"/>
          <w:b/>
          <w:sz w:val="24"/>
        </w:rPr>
        <w:t>三、消防控制部分</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消防报警系统值班、维护：</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1．工作内容及标准</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①24小时值班；</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②保证大楼消防自动报警系统运行正常，各系统工作稳定，设备处于正常运行状态；</w:t>
      </w:r>
    </w:p>
    <w:p>
      <w:pPr>
        <w:tabs>
          <w:tab w:val="left" w:pos="180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③保证消防报警系统设备灵敏可靠；</w:t>
      </w:r>
    </w:p>
    <w:p>
      <w:pPr>
        <w:tabs>
          <w:tab w:val="left" w:pos="180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④一般故障立即排除，维修及时率100%。暂时不能处理的通知有关部门采取应急措施。保证应急措施得当有效；</w:t>
      </w:r>
    </w:p>
    <w:p>
      <w:pPr>
        <w:tabs>
          <w:tab w:val="left" w:pos="180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⑤每年进行一次消防普查，每年进行二次回路检测；</w:t>
      </w:r>
    </w:p>
    <w:p>
      <w:pPr>
        <w:tabs>
          <w:tab w:val="left" w:pos="180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⑥；对于各相关系统的工作状态，及时与相关专业人员进行协调管理；</w:t>
      </w:r>
    </w:p>
    <w:p>
      <w:pPr>
        <w:spacing w:line="500" w:lineRule="exact"/>
        <w:ind w:firstLine="480" w:firstLineChars="200"/>
        <w:jc w:val="left"/>
        <w:rPr>
          <w:rFonts w:hint="eastAsia" w:ascii="楷体_GB2312" w:eastAsia="楷体_GB2312" w:cs="楷体_GB2312"/>
          <w:sz w:val="24"/>
          <w:lang w:val="da-DK"/>
        </w:rPr>
      </w:pPr>
      <w:r>
        <w:rPr>
          <w:rFonts w:hint="eastAsia" w:ascii="楷体_GB2312" w:eastAsia="楷体_GB2312" w:cs="楷体_GB2312"/>
          <w:sz w:val="24"/>
        </w:rPr>
        <w:t>2</w:t>
      </w:r>
      <w:r>
        <w:rPr>
          <w:rFonts w:hint="eastAsia" w:ascii="楷体_GB2312" w:eastAsia="楷体_GB2312" w:cs="楷体_GB2312"/>
          <w:sz w:val="24"/>
          <w:lang w:val="da-DK"/>
        </w:rPr>
        <w:t>．工作方案</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①消防报警系统分控盘内部测试；</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②各层按设备种类进行测试：烟感探测器、温感探测器、手动报警器、消防栓按钮、信号阀、报警阀等；</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③消防风机和泵控制，测试启动按钮、测试运行及反馈信号；</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④网络确认功能测试；</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⑤接受事件测试（火警事件、检测事件、故障事件）；</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⑥查询功能测试：查询探测报警点；查询探测器的探测位置、报警状态；查询报警设备；查询系统数字伪点；查询系统模拟伪点；查询系统网络点。</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⑦控制功能测试（探测点及输入点的强制、控制输出点的强制）。</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⑧历史记录功能：历史记录的生成：火警历史记录、故障历史记录、操作员操作历史记录；历史记录的报表及打印。</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⑨消防报警系统外部设备测试。</w:t>
      </w:r>
    </w:p>
    <w:p>
      <w:pPr>
        <w:tabs>
          <w:tab w:val="left" w:pos="1980"/>
        </w:tabs>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⑩烟感探测器；手动报警器；消火栓按钮；水流、信号阀、报警阀测试；报警测试；消防广播扬声器的报警测试；防火卷帘门现场手动测试；</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⑪整个大楼消防报警系统联动测试手动部分：</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⑫整个大楼消防报警系统联动测试自动部分：</w:t>
      </w:r>
    </w:p>
    <w:p>
      <w:pPr>
        <w:spacing w:line="500" w:lineRule="exact"/>
        <w:ind w:firstLine="480" w:firstLineChars="200"/>
        <w:jc w:val="left"/>
        <w:rPr>
          <w:rFonts w:hint="eastAsia" w:ascii="楷体_GB2312" w:eastAsia="楷体_GB2312" w:cs="楷体_GB2312"/>
          <w:sz w:val="24"/>
        </w:rPr>
      </w:pPr>
      <w:r>
        <w:rPr>
          <w:rFonts w:hint="eastAsia" w:ascii="楷体_GB2312" w:eastAsia="楷体_GB2312" w:cs="楷体_GB2312"/>
          <w:sz w:val="24"/>
        </w:rPr>
        <w:t>3．消防报警系统值班、维护</w:t>
      </w:r>
      <w:r>
        <w:rPr>
          <w:rFonts w:hint="eastAsia" w:ascii="楷体_GB2312" w:eastAsia="楷体_GB2312" w:cs="楷体_GB2312"/>
          <w:bCs/>
          <w:sz w:val="24"/>
          <w:lang w:val="da-DK"/>
        </w:rPr>
        <w:t>应急预案</w:t>
      </w:r>
      <w:r>
        <w:rPr>
          <w:rFonts w:hint="eastAsia" w:ascii="楷体_GB2312" w:eastAsia="楷体_GB2312" w:cs="楷体_GB2312"/>
          <w:sz w:val="24"/>
        </w:rPr>
        <w:t>：</w:t>
      </w:r>
    </w:p>
    <w:p>
      <w:pPr>
        <w:tabs>
          <w:tab w:val="left" w:pos="0"/>
        </w:tabs>
        <w:spacing w:line="50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①消防主机死机故障：</w:t>
      </w:r>
    </w:p>
    <w:p>
      <w:pPr>
        <w:tabs>
          <w:tab w:val="left" w:pos="0"/>
        </w:tabs>
        <w:spacing w:line="500" w:lineRule="exact"/>
        <w:ind w:firstLine="480" w:firstLineChars="200"/>
        <w:rPr>
          <w:rFonts w:hint="eastAsia" w:ascii="楷体_GB2312" w:eastAsia="楷体_GB2312" w:cs="楷体_GB2312"/>
          <w:sz w:val="24"/>
        </w:rPr>
      </w:pPr>
      <w:r>
        <w:rPr>
          <w:rFonts w:hint="eastAsia" w:ascii="楷体_GB2312" w:eastAsia="楷体_GB2312" w:cs="楷体_GB2312"/>
          <w:sz w:val="24"/>
        </w:rPr>
        <w:t>②现场主机故障：</w:t>
      </w:r>
    </w:p>
    <w:p>
      <w:pPr>
        <w:tabs>
          <w:tab w:val="left" w:pos="0"/>
        </w:tabs>
        <w:spacing w:line="48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③消防主机硬盘故障：</w:t>
      </w:r>
    </w:p>
    <w:p>
      <w:pPr>
        <w:tabs>
          <w:tab w:val="left" w:pos="0"/>
        </w:tabs>
        <w:spacing w:line="48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④模块故障：</w:t>
      </w:r>
    </w:p>
    <w:p>
      <w:pPr>
        <w:tabs>
          <w:tab w:val="left" w:pos="0"/>
        </w:tabs>
        <w:spacing w:line="48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⑤消防电话，紧急广播故障：</w:t>
      </w:r>
    </w:p>
    <w:p>
      <w:pPr>
        <w:tabs>
          <w:tab w:val="left" w:pos="0"/>
        </w:tabs>
        <w:spacing w:line="480" w:lineRule="exact"/>
        <w:ind w:firstLine="480" w:firstLineChars="200"/>
        <w:rPr>
          <w:rFonts w:hint="eastAsia" w:ascii="楷体_GB2312" w:eastAsia="楷体_GB2312" w:cs="楷体_GB2312"/>
          <w:bCs/>
          <w:sz w:val="24"/>
        </w:rPr>
      </w:pPr>
      <w:r>
        <w:rPr>
          <w:rFonts w:hint="eastAsia" w:ascii="楷体_GB2312" w:eastAsia="楷体_GB2312" w:cs="楷体_GB2312"/>
          <w:bCs/>
          <w:sz w:val="24"/>
        </w:rPr>
        <w:t>⑥应急电源故障：</w:t>
      </w:r>
      <w:bookmarkStart w:id="0" w:name="_Toc325474290"/>
      <w:bookmarkStart w:id="1" w:name="_Toc353270695"/>
    </w:p>
    <w:p>
      <w:pPr>
        <w:tabs>
          <w:tab w:val="left" w:pos="0"/>
        </w:tabs>
        <w:spacing w:line="480" w:lineRule="exact"/>
        <w:rPr>
          <w:rFonts w:hint="eastAsia" w:ascii="楷体_GB2312" w:eastAsia="楷体_GB2312" w:cs="楷体_GB2312"/>
          <w:b/>
          <w:sz w:val="24"/>
        </w:rPr>
      </w:pPr>
      <w:r>
        <w:rPr>
          <w:rFonts w:hint="eastAsia" w:ascii="楷体_GB2312" w:eastAsia="楷体_GB2312" w:cs="楷体_GB2312"/>
          <w:b/>
          <w:sz w:val="24"/>
        </w:rPr>
        <w:t>第四条</w:t>
      </w:r>
      <w:r>
        <w:rPr>
          <w:rFonts w:hint="eastAsia" w:ascii="楷体_GB2312" w:eastAsia="楷体_GB2312" w:cs="楷体_GB2312"/>
          <w:bCs/>
          <w:sz w:val="24"/>
        </w:rPr>
        <w:t>机动车停放管理方案</w:t>
      </w:r>
      <w:bookmarkEnd w:id="0"/>
      <w:bookmarkEnd w:id="1"/>
    </w:p>
    <w:p>
      <w:pPr>
        <w:tabs>
          <w:tab w:val="left" w:pos="0"/>
        </w:tabs>
        <w:spacing w:line="480" w:lineRule="exact"/>
        <w:rPr>
          <w:rFonts w:hint="eastAsia" w:ascii="楷体_GB2312" w:eastAsia="楷体_GB2312" w:cs="楷体_GB2312"/>
          <w:b/>
          <w:sz w:val="24"/>
        </w:rPr>
      </w:pPr>
      <w:r>
        <w:rPr>
          <w:rFonts w:hint="eastAsia" w:ascii="楷体_GB2312" w:eastAsia="楷体_GB2312" w:cs="楷体_GB2312"/>
          <w:b/>
          <w:sz w:val="24"/>
        </w:rPr>
        <w:t>一、管理规定</w:t>
      </w:r>
    </w:p>
    <w:p>
      <w:pPr>
        <w:spacing w:line="480" w:lineRule="exact"/>
        <w:ind w:left="799" w:leftChars="266" w:hanging="240" w:hangingChars="100"/>
        <w:rPr>
          <w:rFonts w:hint="eastAsia" w:ascii="楷体_GB2312" w:eastAsia="楷体_GB2312" w:cs="楷体_GB2312"/>
          <w:sz w:val="24"/>
        </w:rPr>
      </w:pPr>
      <w:r>
        <w:rPr>
          <w:rFonts w:hint="eastAsia" w:ascii="楷体_GB2312" w:eastAsia="楷体_GB2312" w:cs="楷体_GB2312"/>
          <w:sz w:val="24"/>
        </w:rPr>
        <w:t>1．严格遵守停车场的各项规定和服从车场管理人员的指挥、调动，</w:t>
      </w:r>
    </w:p>
    <w:p>
      <w:pPr>
        <w:spacing w:line="480" w:lineRule="exact"/>
        <w:rPr>
          <w:rFonts w:hint="eastAsia" w:ascii="楷体_GB2312" w:eastAsia="楷体_GB2312" w:cs="楷体_GB2312"/>
          <w:sz w:val="24"/>
        </w:rPr>
      </w:pPr>
      <w:r>
        <w:rPr>
          <w:rFonts w:hint="eastAsia" w:ascii="楷体_GB2312" w:eastAsia="楷体_GB2312" w:cs="楷体_GB2312"/>
          <w:sz w:val="24"/>
        </w:rPr>
        <w:t>守交通标志的规定和要求。</w:t>
      </w:r>
    </w:p>
    <w:p>
      <w:pPr>
        <w:spacing w:line="480" w:lineRule="exact"/>
        <w:ind w:firstLine="480" w:firstLineChars="200"/>
        <w:rPr>
          <w:rFonts w:hint="eastAsia" w:ascii="楷体_GB2312" w:eastAsia="楷体_GB2312" w:cs="楷体_GB2312"/>
          <w:sz w:val="24"/>
        </w:rPr>
      </w:pPr>
      <w:r>
        <w:rPr>
          <w:rFonts w:hint="eastAsia" w:ascii="楷体_GB2312" w:eastAsia="楷体_GB2312" w:cs="楷体_GB2312"/>
          <w:sz w:val="24"/>
        </w:rPr>
        <w:t>2．爱护车场内的各种交通设施和标志，不准擅自挪动。</w:t>
      </w:r>
    </w:p>
    <w:p>
      <w:pPr>
        <w:spacing w:line="480" w:lineRule="exact"/>
        <w:ind w:left="559" w:leftChars="266"/>
        <w:rPr>
          <w:rFonts w:hint="eastAsia" w:ascii="楷体_GB2312" w:eastAsia="楷体_GB2312" w:cs="楷体_GB2312"/>
          <w:sz w:val="24"/>
        </w:rPr>
      </w:pPr>
      <w:r>
        <w:rPr>
          <w:rFonts w:hint="eastAsia" w:ascii="楷体_GB2312" w:eastAsia="楷体_GB2312" w:cs="楷体_GB2312"/>
          <w:sz w:val="24"/>
        </w:rPr>
        <w:t>3．爱护车场内的种种消防设施和消防用具，严禁挪动、乱用消防设施。</w:t>
      </w:r>
    </w:p>
    <w:p>
      <w:pPr>
        <w:spacing w:line="480" w:lineRule="exact"/>
        <w:ind w:firstLine="480" w:firstLineChars="200"/>
        <w:rPr>
          <w:rFonts w:hint="eastAsia" w:ascii="楷体_GB2312" w:eastAsia="楷体_GB2312" w:cs="楷体_GB2312"/>
          <w:sz w:val="24"/>
        </w:rPr>
      </w:pPr>
      <w:r>
        <w:rPr>
          <w:rFonts w:hint="eastAsia" w:ascii="楷体_GB2312" w:eastAsia="楷体_GB2312" w:cs="楷体_GB2312"/>
          <w:sz w:val="24"/>
        </w:rPr>
        <w:t>4．车辆按照标识行驶，且需按指定区域（按车证划分）停放，不准乱行乱放。</w:t>
      </w:r>
      <w:bookmarkStart w:id="2" w:name="_Toc353270696"/>
      <w:bookmarkStart w:id="3" w:name="_Toc325474291"/>
      <w:bookmarkStart w:id="4" w:name="_Toc384046941"/>
    </w:p>
    <w:p>
      <w:pPr>
        <w:spacing w:line="480" w:lineRule="exact"/>
        <w:rPr>
          <w:rFonts w:hint="eastAsia" w:ascii="楷体_GB2312" w:eastAsia="楷体_GB2312" w:cs="楷体_GB2312"/>
          <w:sz w:val="24"/>
        </w:rPr>
      </w:pPr>
      <w:r>
        <w:rPr>
          <w:rFonts w:hint="eastAsia" w:ascii="楷体_GB2312" w:eastAsia="楷体_GB2312" w:cs="楷体_GB2312"/>
          <w:b/>
          <w:bCs/>
          <w:sz w:val="24"/>
        </w:rPr>
        <w:t>第五条</w:t>
      </w:r>
      <w:r>
        <w:rPr>
          <w:rFonts w:hint="eastAsia" w:ascii="楷体_GB2312" w:eastAsia="楷体_GB2312" w:cs="楷体_GB2312"/>
          <w:sz w:val="24"/>
        </w:rPr>
        <w:t>公共区域环境清洁方案</w:t>
      </w:r>
      <w:bookmarkEnd w:id="2"/>
      <w:bookmarkEnd w:id="3"/>
      <w:bookmarkEnd w:id="4"/>
    </w:p>
    <w:p>
      <w:pPr>
        <w:spacing w:line="480" w:lineRule="exact"/>
        <w:rPr>
          <w:rFonts w:hint="eastAsia" w:ascii="楷体_GB2312" w:eastAsia="楷体_GB2312" w:cs="楷体_GB2312"/>
          <w:b/>
          <w:sz w:val="24"/>
        </w:rPr>
      </w:pPr>
      <w:r>
        <w:rPr>
          <w:rFonts w:hint="eastAsia" w:ascii="楷体_GB2312" w:eastAsia="楷体_GB2312" w:cs="楷体_GB2312"/>
          <w:b/>
          <w:sz w:val="24"/>
        </w:rPr>
        <w:t>一、公共区域保洁清洁计划</w:t>
      </w:r>
    </w:p>
    <w:tbl>
      <w:tblPr>
        <w:tblStyle w:val="7"/>
        <w:tblW w:w="9498"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44"/>
        <w:gridCol w:w="2744"/>
        <w:gridCol w:w="32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ind w:firstLine="480"/>
              <w:rPr>
                <w:rFonts w:hint="eastAsia" w:ascii="楷体_GB2312" w:eastAsia="楷体_GB2312" w:cs="楷体_GB2312"/>
                <w:b/>
                <w:sz w:val="24"/>
              </w:rPr>
            </w:pPr>
            <w:r>
              <w:rPr>
                <w:rFonts w:hint="eastAsia" w:ascii="楷体_GB2312" w:eastAsia="楷体_GB2312" w:cs="楷体_GB2312"/>
                <w:b/>
                <w:sz w:val="24"/>
              </w:rPr>
              <w:t>项  目</w:t>
            </w:r>
          </w:p>
        </w:tc>
        <w:tc>
          <w:tcPr>
            <w:tcW w:w="2744" w:type="dxa"/>
            <w:vAlign w:val="center"/>
          </w:tcPr>
          <w:p>
            <w:pPr>
              <w:spacing w:line="500" w:lineRule="exact"/>
              <w:ind w:firstLine="480"/>
              <w:rPr>
                <w:rFonts w:hint="eastAsia" w:ascii="楷体_GB2312" w:eastAsia="楷体_GB2312" w:cs="楷体_GB2312"/>
                <w:b/>
                <w:sz w:val="24"/>
              </w:rPr>
            </w:pPr>
            <w:r>
              <w:rPr>
                <w:rFonts w:hint="eastAsia" w:ascii="楷体_GB2312" w:eastAsia="楷体_GB2312" w:cs="楷体_GB2312"/>
                <w:b/>
                <w:sz w:val="24"/>
              </w:rPr>
              <w:t>区  域</w:t>
            </w:r>
          </w:p>
        </w:tc>
        <w:tc>
          <w:tcPr>
            <w:tcW w:w="3210" w:type="dxa"/>
            <w:vAlign w:val="center"/>
          </w:tcPr>
          <w:p>
            <w:pPr>
              <w:spacing w:line="500" w:lineRule="exact"/>
              <w:ind w:firstLine="480"/>
              <w:rPr>
                <w:rFonts w:hint="eastAsia" w:ascii="楷体_GB2312" w:eastAsia="楷体_GB2312" w:cs="楷体_GB2312"/>
                <w:b/>
                <w:sz w:val="24"/>
              </w:rPr>
            </w:pPr>
            <w:r>
              <w:rPr>
                <w:rFonts w:hint="eastAsia" w:ascii="楷体_GB2312" w:eastAsia="楷体_GB2312" w:cs="楷体_GB2312"/>
                <w:b/>
                <w:sz w:val="24"/>
              </w:rPr>
              <w:t>频  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洗窗</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大厅内、外</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1次/季（费用另算）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外洗墙</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1次/年（费用另算）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照明灯具清洁</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风口清洁</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清洁所有非大理石/花岗岩地面</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大理石地面清洁</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大厅</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石材地面抛光</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所有卫生间</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1次/6个月（费用另算）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大理石/花岗岩地面打蜡</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大厅</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1次/6个月（费用另算）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石材地面打蜡</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楼梯</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1次/6个月）（费用另算）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卫生间日常清洁</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全部</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2次/天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物面擦拭、地面牵尘</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大厅</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trPr>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物面擦拭、地面牵尘</w:t>
            </w:r>
          </w:p>
        </w:tc>
        <w:tc>
          <w:tcPr>
            <w:tcW w:w="27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楼道</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巡视保洁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44"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彻底清洗</w:t>
            </w:r>
          </w:p>
        </w:tc>
        <w:tc>
          <w:tcPr>
            <w:tcW w:w="2744" w:type="dxa"/>
            <w:vAlign w:val="center"/>
          </w:tcPr>
          <w:p>
            <w:pPr>
              <w:spacing w:line="500" w:lineRule="exact"/>
              <w:rPr>
                <w:rFonts w:hint="eastAsia" w:ascii="楷体_GB2312" w:eastAsia="楷体_GB2312" w:cs="楷体_GB2312"/>
                <w:spacing w:val="-16"/>
                <w:sz w:val="24"/>
              </w:rPr>
            </w:pPr>
            <w:r>
              <w:rPr>
                <w:rFonts w:hint="eastAsia" w:ascii="楷体_GB2312" w:eastAsia="楷体_GB2312" w:cs="楷体_GB2312"/>
                <w:spacing w:val="-16"/>
                <w:sz w:val="24"/>
              </w:rPr>
              <w:t>办公室、多功能厅、会议室</w:t>
            </w:r>
          </w:p>
        </w:tc>
        <w:tc>
          <w:tcPr>
            <w:tcW w:w="3210" w:type="dxa"/>
            <w:vAlign w:val="center"/>
          </w:tcPr>
          <w:p>
            <w:pPr>
              <w:spacing w:line="500" w:lineRule="exact"/>
              <w:rPr>
                <w:rFonts w:hint="eastAsia" w:ascii="楷体_GB2312" w:eastAsia="楷体_GB2312" w:cs="楷体_GB2312"/>
                <w:sz w:val="24"/>
              </w:rPr>
            </w:pPr>
            <w:r>
              <w:rPr>
                <w:rFonts w:hint="eastAsia" w:ascii="楷体_GB2312" w:eastAsia="楷体_GB2312" w:cs="楷体_GB2312"/>
                <w:sz w:val="24"/>
              </w:rPr>
              <w:t>按甲方要求进行</w:t>
            </w:r>
          </w:p>
          <w:p>
            <w:pPr>
              <w:spacing w:line="500" w:lineRule="exact"/>
              <w:rPr>
                <w:rFonts w:hint="eastAsia" w:ascii="楷体_GB2312" w:eastAsia="楷体_GB2312" w:cs="楷体_GB2312"/>
                <w:spacing w:val="-26"/>
                <w:sz w:val="24"/>
              </w:rPr>
            </w:pPr>
            <w:r>
              <w:rPr>
                <w:rFonts w:hint="eastAsia" w:ascii="楷体_GB2312" w:eastAsia="楷体_GB2312" w:cs="楷体_GB2312"/>
                <w:sz w:val="24"/>
              </w:rPr>
              <w:t>（费用另算）</w:t>
            </w:r>
          </w:p>
        </w:tc>
      </w:tr>
    </w:tbl>
    <w:p>
      <w:pPr>
        <w:spacing w:afterLines="100" w:line="520" w:lineRule="exact"/>
        <w:rPr>
          <w:rFonts w:hint="eastAsia" w:ascii="楷体_GB2312" w:eastAsia="楷体_GB2312" w:cs="楷体_GB2312"/>
          <w:b/>
          <w:sz w:val="24"/>
        </w:rPr>
      </w:pPr>
      <w:r>
        <w:rPr>
          <w:rFonts w:hint="eastAsia" w:ascii="楷体_GB2312" w:eastAsia="楷体_GB2312" w:cs="楷体_GB2312"/>
          <w:b/>
          <w:sz w:val="24"/>
        </w:rPr>
        <w:t>二、公共区域清洁工作内容及标准</w:t>
      </w:r>
    </w:p>
    <w:tbl>
      <w:tblPr>
        <w:tblStyle w:val="7"/>
        <w:tblW w:w="975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343"/>
        <w:gridCol w:w="1842"/>
        <w:gridCol w:w="1418"/>
        <w:gridCol w:w="514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25" w:hRule="atLeast"/>
          <w:jc w:val="center"/>
        </w:trPr>
        <w:tc>
          <w:tcPr>
            <w:tcW w:w="1343" w:type="dxa"/>
            <w:vAlign w:val="center"/>
          </w:tcPr>
          <w:p>
            <w:pPr>
              <w:spacing w:line="500" w:lineRule="exact"/>
              <w:jc w:val="center"/>
              <w:rPr>
                <w:rFonts w:hint="eastAsia" w:ascii="楷体_GB2312" w:eastAsia="楷体_GB2312" w:cs="楷体_GB2312"/>
                <w:b/>
                <w:sz w:val="24"/>
              </w:rPr>
            </w:pPr>
            <w:r>
              <w:rPr>
                <w:rFonts w:hint="eastAsia" w:ascii="楷体_GB2312" w:eastAsia="楷体_GB2312" w:cs="楷体_GB2312"/>
                <w:b/>
                <w:sz w:val="24"/>
              </w:rPr>
              <w:t>程 序</w:t>
            </w:r>
          </w:p>
        </w:tc>
        <w:tc>
          <w:tcPr>
            <w:tcW w:w="8408" w:type="dxa"/>
            <w:gridSpan w:val="3"/>
            <w:vAlign w:val="center"/>
          </w:tcPr>
          <w:p>
            <w:pPr>
              <w:spacing w:line="500" w:lineRule="exact"/>
              <w:jc w:val="center"/>
              <w:rPr>
                <w:rFonts w:hint="eastAsia" w:ascii="楷体_GB2312" w:eastAsia="楷体_GB2312" w:cs="楷体_GB2312"/>
                <w:b/>
                <w:sz w:val="24"/>
              </w:rPr>
            </w:pPr>
            <w:r>
              <w:rPr>
                <w:rFonts w:hint="eastAsia" w:ascii="楷体_GB2312" w:eastAsia="楷体_GB2312" w:cs="楷体_GB2312"/>
                <w:b/>
                <w:sz w:val="24"/>
              </w:rPr>
              <w:t>标   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1343" w:type="dxa"/>
            <w:vAlign w:val="center"/>
          </w:tcPr>
          <w:p>
            <w:pPr>
              <w:spacing w:line="500" w:lineRule="exact"/>
              <w:jc w:val="center"/>
              <w:rPr>
                <w:rFonts w:hint="eastAsia" w:ascii="楷体_GB2312" w:eastAsia="楷体_GB2312" w:cs="楷体_GB2312"/>
                <w:sz w:val="24"/>
              </w:rPr>
            </w:pPr>
            <w:r>
              <w:rPr>
                <w:rFonts w:hint="eastAsia" w:ascii="楷体_GB2312" w:eastAsia="楷体_GB2312" w:cs="楷体_GB2312"/>
                <w:sz w:val="24"/>
              </w:rPr>
              <w:t>地</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面</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清</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洁</w:t>
            </w:r>
          </w:p>
        </w:tc>
        <w:tc>
          <w:tcPr>
            <w:tcW w:w="8408" w:type="dxa"/>
            <w:gridSpan w:val="3"/>
            <w:vAlign w:val="center"/>
          </w:tcPr>
          <w:p>
            <w:pPr>
              <w:pStyle w:val="9"/>
              <w:numPr>
                <w:ilvl w:val="0"/>
                <w:numId w:val="1"/>
              </w:numPr>
              <w:spacing w:line="500" w:lineRule="exact"/>
              <w:ind w:firstLineChars="0"/>
              <w:rPr>
                <w:rFonts w:hint="eastAsia" w:ascii="楷体_GB2312" w:eastAsia="楷体_GB2312" w:cs="楷体_GB2312"/>
                <w:sz w:val="24"/>
              </w:rPr>
            </w:pPr>
            <w:r>
              <w:rPr>
                <w:rFonts w:hint="eastAsia" w:ascii="楷体_GB2312" w:eastAsia="楷体_GB2312" w:cs="楷体_GB2312"/>
                <w:sz w:val="24"/>
              </w:rPr>
              <w:t>对公共区域地面进行彻底清扫；</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白天用牵尘器循环牵尘，维护地面清洁；</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牵尘地面按规定线路行进到终点时，抖清依附在牵尘上的灰尘；</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避开国家税务总局平罗县税务局</w:t>
            </w:r>
            <w:r>
              <w:rPr>
                <w:rFonts w:hint="eastAsia" w:ascii="楷体_GB2312" w:eastAsia="楷体_GB2312" w:cs="楷体_GB2312"/>
                <w:color w:val="000000"/>
                <w:sz w:val="24"/>
              </w:rPr>
              <w:t>各级领导及</w:t>
            </w:r>
            <w:r>
              <w:rPr>
                <w:rFonts w:hint="eastAsia" w:ascii="楷体_GB2312" w:eastAsia="楷体_GB2312" w:cs="楷体_GB2312"/>
                <w:sz w:val="24"/>
              </w:rPr>
              <w:t>工作人员上下班开会聚集的时间和区域，国家税务总局平罗县税务局</w:t>
            </w:r>
            <w:r>
              <w:rPr>
                <w:rFonts w:hint="eastAsia" w:ascii="楷体_GB2312" w:eastAsia="楷体_GB2312" w:cs="楷体_GB2312"/>
                <w:color w:val="000000"/>
                <w:sz w:val="24"/>
              </w:rPr>
              <w:t>各级领导及</w:t>
            </w:r>
            <w:r>
              <w:rPr>
                <w:rFonts w:hint="eastAsia" w:ascii="楷体_GB2312" w:eastAsia="楷体_GB2312" w:cs="楷体_GB2312"/>
                <w:sz w:val="24"/>
              </w:rPr>
              <w:t>工作人员离散后，再牵尘；</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对国家税务总局平罗县税务局</w:t>
            </w:r>
            <w:r>
              <w:rPr>
                <w:rFonts w:hint="eastAsia" w:ascii="楷体_GB2312" w:eastAsia="楷体_GB2312" w:cs="楷体_GB2312"/>
                <w:color w:val="000000"/>
                <w:sz w:val="24"/>
              </w:rPr>
              <w:t>各级领导及</w:t>
            </w:r>
            <w:r>
              <w:rPr>
                <w:rFonts w:hint="eastAsia" w:ascii="楷体_GB2312" w:eastAsia="楷体_GB2312" w:cs="楷体_GB2312"/>
                <w:sz w:val="24"/>
              </w:rPr>
              <w:t>工作人员、来访人员进出频繁容易脏的区域重点牵尘，并增加次数；</w:t>
            </w:r>
          </w:p>
          <w:p>
            <w:pPr>
              <w:numPr>
                <w:ilvl w:val="0"/>
                <w:numId w:val="1"/>
              </w:numPr>
              <w:spacing w:line="500" w:lineRule="exact"/>
              <w:rPr>
                <w:rFonts w:hint="eastAsia" w:ascii="楷体_GB2312" w:eastAsia="楷体_GB2312" w:cs="楷体_GB2312"/>
                <w:sz w:val="24"/>
              </w:rPr>
            </w:pPr>
            <w:r>
              <w:rPr>
                <w:rFonts w:hint="eastAsia" w:ascii="楷体_GB2312" w:eastAsia="楷体_GB2312" w:cs="楷体_GB2312"/>
                <w:sz w:val="24"/>
              </w:rPr>
              <w:t>遇下雪和雨天在公共区域进出口放置地垫，放置“小心路滑” 告示牌。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1630" w:hRule="atLeast"/>
          <w:jc w:val="center"/>
        </w:trPr>
        <w:tc>
          <w:tcPr>
            <w:tcW w:w="1343" w:type="dxa"/>
            <w:vAlign w:val="center"/>
          </w:tcPr>
          <w:p>
            <w:pPr>
              <w:spacing w:line="500" w:lineRule="exact"/>
              <w:jc w:val="center"/>
              <w:rPr>
                <w:rFonts w:hint="eastAsia" w:ascii="楷体_GB2312" w:eastAsia="楷体_GB2312" w:cs="楷体_GB2312"/>
                <w:sz w:val="24"/>
              </w:rPr>
            </w:pPr>
            <w:r>
              <w:rPr>
                <w:rFonts w:hint="eastAsia" w:ascii="楷体_GB2312" w:eastAsia="楷体_GB2312" w:cs="楷体_GB2312"/>
                <w:sz w:val="24"/>
              </w:rPr>
              <w:t>门</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厅</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清</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洁</w:t>
            </w:r>
          </w:p>
        </w:tc>
        <w:tc>
          <w:tcPr>
            <w:tcW w:w="8408" w:type="dxa"/>
            <w:gridSpan w:val="3"/>
            <w:vAlign w:val="center"/>
          </w:tcPr>
          <w:p>
            <w:pPr>
              <w:pStyle w:val="9"/>
              <w:numPr>
                <w:ilvl w:val="0"/>
                <w:numId w:val="2"/>
              </w:numPr>
              <w:spacing w:line="500" w:lineRule="exact"/>
              <w:ind w:firstLineChars="0"/>
              <w:rPr>
                <w:rFonts w:hint="eastAsia" w:ascii="楷体_GB2312" w:eastAsia="楷体_GB2312" w:cs="楷体_GB2312"/>
                <w:sz w:val="24"/>
              </w:rPr>
            </w:pPr>
            <w:r>
              <w:rPr>
                <w:rFonts w:hint="eastAsia" w:ascii="楷体_GB2312" w:eastAsia="楷体_GB2312" w:cs="楷体_GB2312"/>
                <w:sz w:val="24"/>
              </w:rPr>
              <w:t>对门厅口标牌、墙面、门窗及台阶进行擦拭；</w:t>
            </w:r>
          </w:p>
          <w:p>
            <w:pPr>
              <w:numPr>
                <w:ilvl w:val="0"/>
                <w:numId w:val="2"/>
              </w:numPr>
              <w:spacing w:line="500" w:lineRule="exact"/>
              <w:rPr>
                <w:rFonts w:hint="eastAsia" w:ascii="楷体_GB2312" w:eastAsia="楷体_GB2312" w:cs="楷体_GB2312"/>
                <w:sz w:val="24"/>
              </w:rPr>
            </w:pPr>
            <w:r>
              <w:rPr>
                <w:rFonts w:hint="eastAsia" w:ascii="楷体_GB2312" w:eastAsia="楷体_GB2312" w:cs="楷体_GB2312"/>
                <w:sz w:val="24"/>
              </w:rPr>
              <w:t>对玻璃门窗的浮尘、指印、脏渍进行擦拭。</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16" w:hRule="atLeast"/>
          <w:jc w:val="center"/>
        </w:trPr>
        <w:tc>
          <w:tcPr>
            <w:tcW w:w="1343" w:type="dxa"/>
            <w:vAlign w:val="center"/>
          </w:tcPr>
          <w:p>
            <w:pPr>
              <w:spacing w:line="500" w:lineRule="exact"/>
              <w:jc w:val="center"/>
              <w:rPr>
                <w:rFonts w:hint="eastAsia" w:ascii="楷体_GB2312" w:eastAsia="楷体_GB2312" w:cs="楷体_GB2312"/>
                <w:sz w:val="24"/>
              </w:rPr>
            </w:pPr>
            <w:r>
              <w:rPr>
                <w:rFonts w:hint="eastAsia" w:ascii="楷体_GB2312" w:eastAsia="楷体_GB2312" w:cs="楷体_GB2312"/>
                <w:sz w:val="24"/>
              </w:rPr>
              <w:t>家</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具</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清</w:t>
            </w:r>
          </w:p>
          <w:p>
            <w:pPr>
              <w:spacing w:line="500" w:lineRule="exact"/>
              <w:jc w:val="center"/>
              <w:rPr>
                <w:rFonts w:hint="eastAsia" w:ascii="楷体_GB2312" w:eastAsia="楷体_GB2312" w:cs="楷体_GB2312"/>
                <w:sz w:val="24"/>
              </w:rPr>
            </w:pPr>
            <w:r>
              <w:rPr>
                <w:rFonts w:hint="eastAsia" w:ascii="楷体_GB2312" w:eastAsia="楷体_GB2312" w:cs="楷体_GB2312"/>
                <w:sz w:val="24"/>
              </w:rPr>
              <w:t>洁</w:t>
            </w:r>
          </w:p>
        </w:tc>
        <w:tc>
          <w:tcPr>
            <w:tcW w:w="8408" w:type="dxa"/>
            <w:gridSpan w:val="3"/>
            <w:vAlign w:val="center"/>
          </w:tcPr>
          <w:p>
            <w:pPr>
              <w:pStyle w:val="9"/>
              <w:numPr>
                <w:ilvl w:val="0"/>
                <w:numId w:val="3"/>
              </w:numPr>
              <w:spacing w:line="500" w:lineRule="exact"/>
              <w:ind w:firstLineChars="0"/>
              <w:rPr>
                <w:rFonts w:hint="eastAsia" w:ascii="楷体_GB2312" w:eastAsia="楷体_GB2312" w:cs="楷体_GB2312"/>
                <w:sz w:val="24"/>
              </w:rPr>
            </w:pPr>
            <w:r>
              <w:rPr>
                <w:rFonts w:hint="eastAsia" w:ascii="楷体_GB2312" w:eastAsia="楷体_GB2312" w:cs="楷体_GB2312"/>
                <w:sz w:val="24"/>
              </w:rPr>
              <w:t>对公共区域内所有台、桌、凳、椅、茶几等家具及烟具、灯具、标牌和指示意牌、栏杆、立式烟筒、烟缸、台灯、服务台进行擦拭一次；</w:t>
            </w:r>
          </w:p>
          <w:p>
            <w:pPr>
              <w:numPr>
                <w:ilvl w:val="0"/>
                <w:numId w:val="3"/>
              </w:numPr>
              <w:spacing w:line="500" w:lineRule="exact"/>
              <w:rPr>
                <w:rFonts w:hint="eastAsia" w:ascii="楷体_GB2312" w:eastAsia="楷体_GB2312" w:cs="楷体_GB2312"/>
                <w:sz w:val="24"/>
              </w:rPr>
            </w:pPr>
            <w:r>
              <w:rPr>
                <w:rFonts w:hint="eastAsia" w:ascii="楷体_GB2312" w:eastAsia="楷体_GB2312" w:cs="楷体_GB2312"/>
                <w:sz w:val="24"/>
              </w:rPr>
              <w:t>对家具、标牌、栏杆、台灯进行擦拭一次；</w:t>
            </w:r>
          </w:p>
          <w:p>
            <w:pPr>
              <w:numPr>
                <w:ilvl w:val="0"/>
                <w:numId w:val="3"/>
              </w:numPr>
              <w:spacing w:line="500" w:lineRule="exact"/>
              <w:rPr>
                <w:rFonts w:hint="eastAsia" w:ascii="楷体_GB2312" w:eastAsia="楷体_GB2312" w:cs="楷体_GB2312"/>
                <w:sz w:val="24"/>
              </w:rPr>
            </w:pPr>
            <w:r>
              <w:rPr>
                <w:rFonts w:hint="eastAsia" w:ascii="楷体_GB2312" w:eastAsia="楷体_GB2312" w:cs="楷体_GB2312"/>
                <w:sz w:val="24"/>
              </w:rPr>
              <w:t>每天一次清倒立式烟筒；</w:t>
            </w:r>
          </w:p>
          <w:p>
            <w:pPr>
              <w:numPr>
                <w:ilvl w:val="0"/>
                <w:numId w:val="3"/>
              </w:numPr>
              <w:spacing w:line="500" w:lineRule="exact"/>
              <w:rPr>
                <w:rFonts w:hint="eastAsia" w:ascii="楷体_GB2312" w:eastAsia="楷体_GB2312" w:cs="楷体_GB2312"/>
                <w:sz w:val="24"/>
              </w:rPr>
            </w:pPr>
            <w:r>
              <w:rPr>
                <w:rFonts w:hint="eastAsia" w:ascii="楷体_GB2312" w:eastAsia="楷体_GB2312" w:cs="楷体_GB2312"/>
                <w:sz w:val="24"/>
              </w:rPr>
              <w:t>勤换客用烟缸、确保烟蒂不超过5个；</w:t>
            </w:r>
          </w:p>
          <w:p>
            <w:pPr>
              <w:numPr>
                <w:ilvl w:val="0"/>
                <w:numId w:val="3"/>
              </w:numPr>
              <w:spacing w:line="500" w:lineRule="exact"/>
              <w:ind w:left="-12"/>
              <w:rPr>
                <w:rFonts w:hint="eastAsia" w:ascii="楷体_GB2312" w:eastAsia="楷体_GB2312" w:cs="楷体_GB2312"/>
                <w:sz w:val="24"/>
              </w:rPr>
            </w:pPr>
            <w:r>
              <w:rPr>
                <w:rFonts w:hint="eastAsia" w:ascii="楷体_GB2312" w:eastAsia="楷体_GB2312" w:cs="楷体_GB2312"/>
                <w:sz w:val="24"/>
              </w:rPr>
              <w:t>茶几、地面有纸屑等杂物，及时拣起擦净。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67" w:hRule="atLeast"/>
          <w:jc w:val="center"/>
        </w:trPr>
        <w:tc>
          <w:tcPr>
            <w:tcW w:w="1343" w:type="dxa"/>
            <w:vAlign w:val="center"/>
          </w:tcPr>
          <w:p>
            <w:pPr>
              <w:tabs>
                <w:tab w:val="left" w:pos="540"/>
                <w:tab w:val="left" w:pos="720"/>
              </w:tabs>
              <w:spacing w:line="400" w:lineRule="exact"/>
              <w:jc w:val="center"/>
              <w:rPr>
                <w:rFonts w:hint="eastAsia" w:ascii="楷体_GB2312" w:eastAsia="楷体_GB2312" w:cs="楷体_GB2312"/>
                <w:b/>
                <w:sz w:val="24"/>
                <w:lang w:val="it-CH"/>
              </w:rPr>
            </w:pPr>
          </w:p>
          <w:p>
            <w:pPr>
              <w:tabs>
                <w:tab w:val="left" w:pos="540"/>
                <w:tab w:val="left" w:pos="720"/>
              </w:tabs>
              <w:spacing w:line="400" w:lineRule="exact"/>
              <w:jc w:val="center"/>
              <w:rPr>
                <w:rFonts w:hint="eastAsia" w:ascii="楷体_GB2312" w:eastAsia="楷体_GB2312" w:cs="楷体_GB2312"/>
                <w:b/>
                <w:sz w:val="24"/>
                <w:lang w:val="it-CH"/>
              </w:rPr>
            </w:pPr>
            <w:r>
              <w:rPr>
                <w:rFonts w:hint="eastAsia" w:ascii="楷体_GB2312" w:eastAsia="楷体_GB2312" w:cs="楷体_GB2312"/>
                <w:b/>
                <w:sz w:val="24"/>
                <w:lang w:val="it-CH"/>
              </w:rPr>
              <w:t>程序</w:t>
            </w:r>
          </w:p>
        </w:tc>
        <w:tc>
          <w:tcPr>
            <w:tcW w:w="1842" w:type="dxa"/>
            <w:vAlign w:val="center"/>
          </w:tcPr>
          <w:p>
            <w:pPr>
              <w:tabs>
                <w:tab w:val="left" w:pos="540"/>
                <w:tab w:val="left" w:pos="720"/>
              </w:tabs>
              <w:spacing w:line="400" w:lineRule="exact"/>
              <w:jc w:val="center"/>
              <w:rPr>
                <w:rFonts w:hint="eastAsia" w:ascii="楷体_GB2312" w:eastAsia="楷体_GB2312" w:cs="楷体_GB2312"/>
                <w:b/>
                <w:sz w:val="24"/>
                <w:lang w:val="it-CH"/>
              </w:rPr>
            </w:pPr>
            <w:r>
              <w:rPr>
                <w:rFonts w:hint="eastAsia" w:ascii="楷体_GB2312" w:eastAsia="楷体_GB2312" w:cs="楷体_GB2312"/>
                <w:b/>
                <w:sz w:val="24"/>
                <w:lang w:val="it-CH"/>
              </w:rPr>
              <w:t>名  称</w:t>
            </w:r>
          </w:p>
        </w:tc>
        <w:tc>
          <w:tcPr>
            <w:tcW w:w="1418" w:type="dxa"/>
            <w:vAlign w:val="center"/>
          </w:tcPr>
          <w:p>
            <w:pPr>
              <w:tabs>
                <w:tab w:val="left" w:pos="540"/>
                <w:tab w:val="left" w:pos="720"/>
              </w:tabs>
              <w:spacing w:line="400" w:lineRule="exact"/>
              <w:jc w:val="center"/>
              <w:rPr>
                <w:rFonts w:hint="eastAsia" w:ascii="楷体_GB2312" w:eastAsia="楷体_GB2312" w:cs="楷体_GB2312"/>
                <w:b/>
                <w:sz w:val="24"/>
                <w:lang w:val="it-CH"/>
              </w:rPr>
            </w:pPr>
            <w:r>
              <w:rPr>
                <w:rFonts w:hint="eastAsia" w:ascii="楷体_GB2312" w:eastAsia="楷体_GB2312" w:cs="楷体_GB2312"/>
                <w:b/>
                <w:sz w:val="24"/>
                <w:lang w:val="it-CH"/>
              </w:rPr>
              <w:t>次  数</w:t>
            </w:r>
          </w:p>
        </w:tc>
        <w:tc>
          <w:tcPr>
            <w:tcW w:w="5148" w:type="dxa"/>
            <w:vAlign w:val="center"/>
          </w:tcPr>
          <w:p>
            <w:pPr>
              <w:tabs>
                <w:tab w:val="left" w:pos="540"/>
                <w:tab w:val="left" w:pos="720"/>
              </w:tabs>
              <w:spacing w:line="400" w:lineRule="exact"/>
              <w:jc w:val="center"/>
              <w:rPr>
                <w:rFonts w:hint="eastAsia" w:ascii="楷体_GB2312" w:eastAsia="楷体_GB2312" w:cs="楷体_GB2312"/>
                <w:b/>
                <w:sz w:val="24"/>
                <w:lang w:val="it-CH"/>
              </w:rPr>
            </w:pPr>
            <w:r>
              <w:rPr>
                <w:rFonts w:hint="eastAsia" w:ascii="楷体_GB2312" w:eastAsia="楷体_GB2312" w:cs="楷体_GB2312"/>
                <w:b/>
                <w:sz w:val="24"/>
                <w:lang w:val="it-CH"/>
              </w:rPr>
              <w:t>标      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restart"/>
            <w:textDirection w:val="tbRlV"/>
            <w:vAlign w:val="center"/>
          </w:tcPr>
          <w:p>
            <w:pPr>
              <w:tabs>
                <w:tab w:val="left" w:pos="540"/>
                <w:tab w:val="left" w:pos="720"/>
              </w:tabs>
              <w:spacing w:line="400" w:lineRule="exact"/>
              <w:ind w:left="113" w:right="113"/>
              <w:jc w:val="center"/>
              <w:rPr>
                <w:rFonts w:hint="eastAsia" w:ascii="楷体_GB2312" w:eastAsia="楷体_GB2312" w:cs="楷体_GB2312"/>
                <w:sz w:val="24"/>
                <w:lang w:val="it-CH"/>
              </w:rPr>
            </w:pPr>
            <w:r>
              <w:rPr>
                <w:rFonts w:hint="eastAsia" w:ascii="楷体_GB2312" w:eastAsia="楷体_GB2312" w:cs="楷体_GB2312"/>
                <w:sz w:val="24"/>
                <w:lang w:val="it-CH"/>
              </w:rPr>
              <w:t>通道</w:t>
            </w: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房间门、通道门</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无灰尘、无污迹、无污垢、明亮洁净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硬质地面</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每天1次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无灰尘、无杂物、无印迹、光亮洁净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金属设施</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每周2次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无灰尘、无污渍、无印迹、透亮洁净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镜子、玻璃</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每天1次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无灰尘、无污渍、无印迹、透亮洁净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垃圾桶、烟缸</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每天1次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垃圾不外溢、烟头少于5个</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服务台</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每天1次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无灰尘、无杂物、无印迹、光滑洁净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家具、座椅</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每周2次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无灰尘、无污渍、无印迹、内外洁净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标志、标牌</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无灰尘、无污渍、无印迹、光滑洁净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Merge w:val="restart"/>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垃圾清运</w:t>
            </w:r>
          </w:p>
        </w:tc>
        <w:tc>
          <w:tcPr>
            <w:tcW w:w="1418" w:type="dxa"/>
            <w:vMerge w:val="restart"/>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每日1次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每日下午清运，同时更换垃圾袋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Merge w:val="continue"/>
            <w:vAlign w:val="center"/>
          </w:tcPr>
          <w:p>
            <w:pPr>
              <w:rPr>
                <w:rFonts w:hint="eastAsia"/>
                <w:sz w:val="24"/>
              </w:rPr>
            </w:pPr>
          </w:p>
        </w:tc>
        <w:tc>
          <w:tcPr>
            <w:tcW w:w="1418" w:type="dxa"/>
            <w:vMerge w:val="continue"/>
            <w:vAlign w:val="center"/>
          </w:tcPr>
          <w:p>
            <w:pPr>
              <w:rPr>
                <w:rFonts w:hint="eastAsia"/>
                <w:sz w:val="24"/>
              </w:rPr>
            </w:pP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保持垃圾桶和运输工具内外洁净、无异味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脚踢板、扶手</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无灰尘、无污渍、无印迹、擦拭洁净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门窗、边框</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无灰尘、无污渍、无印迹、透亮洁净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照明灯饰</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每月1次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无灰尘、无污渍、无印迹、透亮洁净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空调、通风口</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每月1次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无灰尘、无污渍、无印迹、内外洁净</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1343" w:type="dxa"/>
            <w:vMerge w:val="continue"/>
          </w:tcPr>
          <w:p>
            <w:pPr>
              <w:rPr>
                <w:rFonts w:hint="eastAsia"/>
                <w:sz w:val="24"/>
              </w:rPr>
            </w:pPr>
          </w:p>
        </w:tc>
        <w:tc>
          <w:tcPr>
            <w:tcW w:w="1842"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消防设施</w:t>
            </w:r>
          </w:p>
        </w:tc>
        <w:tc>
          <w:tcPr>
            <w:tcW w:w="1418" w:type="dxa"/>
            <w:vAlign w:val="center"/>
          </w:tcPr>
          <w:p>
            <w:pPr>
              <w:tabs>
                <w:tab w:val="left" w:pos="540"/>
                <w:tab w:val="left" w:pos="720"/>
              </w:tabs>
              <w:spacing w:line="400" w:lineRule="exact"/>
              <w:jc w:val="center"/>
              <w:rPr>
                <w:rFonts w:hint="eastAsia" w:ascii="楷体_GB2312" w:eastAsia="楷体_GB2312" w:cs="楷体_GB2312"/>
                <w:sz w:val="24"/>
                <w:lang w:val="it-CH"/>
              </w:rPr>
            </w:pPr>
            <w:r>
              <w:rPr>
                <w:rFonts w:hint="eastAsia" w:ascii="楷体_GB2312" w:eastAsia="楷体_GB2312" w:cs="楷体_GB2312"/>
                <w:sz w:val="24"/>
                <w:lang w:val="it-CH"/>
              </w:rPr>
              <w:t>每月1次</w:t>
            </w:r>
          </w:p>
        </w:tc>
        <w:tc>
          <w:tcPr>
            <w:tcW w:w="5148" w:type="dxa"/>
            <w:vAlign w:val="center"/>
          </w:tcPr>
          <w:p>
            <w:pPr>
              <w:tabs>
                <w:tab w:val="left" w:pos="540"/>
                <w:tab w:val="left" w:pos="720"/>
              </w:tabs>
              <w:spacing w:line="400" w:lineRule="exact"/>
              <w:rPr>
                <w:rFonts w:hint="eastAsia" w:ascii="楷体_GB2312" w:eastAsia="楷体_GB2312" w:cs="楷体_GB2312"/>
                <w:sz w:val="24"/>
                <w:lang w:val="it-CH"/>
              </w:rPr>
            </w:pPr>
            <w:r>
              <w:rPr>
                <w:rFonts w:hint="eastAsia" w:ascii="楷体_GB2312" w:eastAsia="楷体_GB2312" w:cs="楷体_GB2312"/>
                <w:sz w:val="24"/>
                <w:lang w:val="it-CH"/>
              </w:rPr>
              <w:t>无灰尘、无污渍、无杂物、内外洁净</w:t>
            </w:r>
          </w:p>
        </w:tc>
      </w:tr>
    </w:tbl>
    <w:p>
      <w:pPr>
        <w:spacing w:afterLines="100" w:line="520" w:lineRule="exact"/>
        <w:rPr>
          <w:rFonts w:hint="eastAsia" w:ascii="楷体_GB2312" w:eastAsia="楷体_GB2312" w:cs="楷体_GB2312"/>
          <w:b/>
          <w:sz w:val="24"/>
        </w:rPr>
      </w:pPr>
      <w:r>
        <w:rPr>
          <w:rFonts w:hint="eastAsia" w:ascii="楷体_GB2312" w:eastAsia="楷体_GB2312" w:cs="楷体_GB2312"/>
          <w:b/>
          <w:sz w:val="24"/>
        </w:rPr>
        <w:t>三、清洁客用洗手间工作内容及标准</w:t>
      </w:r>
    </w:p>
    <w:tbl>
      <w:tblPr>
        <w:tblStyle w:val="7"/>
        <w:tblW w:w="9811"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1"/>
        <w:gridCol w:w="2037"/>
        <w:gridCol w:w="1443"/>
        <w:gridCol w:w="4600"/>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tcBorders>
              <w:top w:val="single" w:color="auto" w:sz="4" w:space="0"/>
              <w:left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程序</w:t>
            </w:r>
          </w:p>
        </w:tc>
        <w:tc>
          <w:tcPr>
            <w:tcW w:w="8080" w:type="dxa"/>
            <w:gridSpan w:val="3"/>
            <w:tcBorders>
              <w:top w:val="single" w:color="auto" w:sz="4" w:space="0"/>
              <w:bottom w:val="single" w:color="auto" w:sz="4" w:space="0"/>
              <w:right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标      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030" w:hRule="atLeast"/>
          <w:jc w:val="center"/>
        </w:trPr>
        <w:tc>
          <w:tcPr>
            <w:tcW w:w="1731" w:type="dxa"/>
            <w:tcBorders>
              <w:top w:val="single" w:color="auto" w:sz="4" w:space="0"/>
              <w:left w:val="single" w:color="auto" w:sz="4" w:space="0"/>
            </w:tcBorders>
            <w:vAlign w:val="center"/>
          </w:tcPr>
          <w:p>
            <w:pPr>
              <w:spacing w:line="360" w:lineRule="auto"/>
              <w:jc w:val="center"/>
              <w:rPr>
                <w:rFonts w:hint="eastAsia" w:ascii="楷体_GB2312" w:eastAsia="楷体_GB2312" w:cs="楷体_GB2312"/>
                <w:sz w:val="24"/>
              </w:rPr>
            </w:pPr>
            <w:r>
              <w:rPr>
                <w:rFonts w:hint="eastAsia" w:ascii="楷体_GB2312" w:eastAsia="楷体_GB2312" w:cs="楷体_GB2312"/>
                <w:sz w:val="24"/>
              </w:rPr>
              <w:t>准备</w:t>
            </w:r>
          </w:p>
        </w:tc>
        <w:tc>
          <w:tcPr>
            <w:tcW w:w="8080" w:type="dxa"/>
            <w:gridSpan w:val="3"/>
            <w:tcBorders>
              <w:top w:val="single" w:color="auto" w:sz="4" w:space="0"/>
              <w:right w:val="single" w:color="auto" w:sz="4" w:space="0"/>
            </w:tcBorders>
            <w:vAlign w:val="center"/>
          </w:tcPr>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备好清洁剂、空气清新剂；</w:t>
            </w:r>
          </w:p>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检查皂液器、烘手器等设备完好情况。</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2590" w:hRule="atLeast"/>
          <w:jc w:val="center"/>
        </w:trPr>
        <w:tc>
          <w:tcPr>
            <w:tcW w:w="1731" w:type="dxa"/>
            <w:tcBorders>
              <w:top w:val="single" w:color="auto" w:sz="4" w:space="0"/>
              <w:left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清洁</w:t>
            </w:r>
          </w:p>
        </w:tc>
        <w:tc>
          <w:tcPr>
            <w:tcW w:w="8080" w:type="dxa"/>
            <w:gridSpan w:val="3"/>
            <w:tcBorders>
              <w:top w:val="single" w:color="auto" w:sz="4" w:space="0"/>
              <w:right w:val="single" w:color="auto" w:sz="4" w:space="0"/>
            </w:tcBorders>
            <w:vAlign w:val="center"/>
          </w:tcPr>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按顺序擦拭清洁面盆、水龙头、台面、镜面；</w:t>
            </w:r>
          </w:p>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清洁恭桶及便池；</w:t>
            </w:r>
          </w:p>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擦拭厕所内门、窗及瓷砖、墙面；</w:t>
            </w:r>
          </w:p>
          <w:p>
            <w:pPr>
              <w:tabs>
                <w:tab w:val="left" w:pos="612"/>
              </w:tabs>
              <w:spacing w:line="360" w:lineRule="auto"/>
              <w:rPr>
                <w:rFonts w:hint="eastAsia" w:ascii="楷体_GB2312" w:eastAsia="楷体_GB2312" w:cs="楷体_GB2312"/>
                <w:sz w:val="24"/>
              </w:rPr>
            </w:pPr>
            <w:r>
              <w:rPr>
                <w:rFonts w:hint="eastAsia" w:ascii="楷体_GB2312" w:eastAsia="楷体_GB2312" w:cs="楷体_GB2312"/>
                <w:sz w:val="24"/>
              </w:rPr>
              <w:t>拖净厕所内地面；</w:t>
            </w:r>
          </w:p>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rPr>
              <w:t>喷洒适量空气清新剂；</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tcBorders>
              <w:top w:val="single" w:color="auto" w:sz="4" w:space="0"/>
              <w:left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区域</w:t>
            </w:r>
          </w:p>
        </w:tc>
        <w:tc>
          <w:tcPr>
            <w:tcW w:w="2037"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清洁内容</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检查方式</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标准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restart"/>
            <w:tcBorders>
              <w:top w:val="single" w:color="auto" w:sz="4" w:space="0"/>
              <w:left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卫生间    浴室</w:t>
            </w: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恭桶</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无污迹、无黄迹、无污垢、内外洁净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textDirection w:val="tbRlV"/>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清洁地面</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无杂物、无污渍、无水迹、光亮洁净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倾倒垃圾</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垃圾不得超过桶体2/3处、内外洁净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冲洗便池</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无杂物、无污迹、无异味、内外洁净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地漏、下水盖</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无异味、无杂物、无污垢、内外洁净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水龙头、喷头</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巡视保洁</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无污渍、无水垢、无水迹、光亮洁净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玻璃、镜子</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无灰尘、无污迹、无水迹、透亮洁净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电源开关插座</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巡视保洁</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洗手池、台面</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巡视保洁</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无灰尘、无污迹、无水迹、光滑洁净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金属设施</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巡视保洁</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无灰尘、无污渍、无水迹、光亮洁净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空气清新剂</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根据情况及时补充、喷洒</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墙面、隔板</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擦拭门窗</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无灰尘、无污迹、无污垢、透亮洁净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空调、通风口</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无灰尘、无杂物、无污垢、内外洁净</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731" w:type="dxa"/>
            <w:vMerge w:val="continue"/>
            <w:tcBorders>
              <w:top w:val="single" w:color="auto" w:sz="4" w:space="0"/>
              <w:left w:val="single" w:color="auto" w:sz="4" w:space="0"/>
              <w:bottom w:val="single" w:color="auto" w:sz="4" w:space="0"/>
            </w:tcBorders>
            <w:vAlign w:val="center"/>
          </w:tcPr>
          <w:p>
            <w:pPr>
              <w:rPr>
                <w:rFonts w:hint="eastAsia"/>
                <w:sz w:val="24"/>
              </w:rPr>
            </w:pPr>
          </w:p>
        </w:tc>
        <w:tc>
          <w:tcPr>
            <w:tcW w:w="2037" w:type="dxa"/>
            <w:tcBorders>
              <w:top w:val="single" w:color="auto" w:sz="4" w:space="0"/>
              <w:bottom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清洁照明</w:t>
            </w:r>
          </w:p>
        </w:tc>
        <w:tc>
          <w:tcPr>
            <w:tcW w:w="1443" w:type="dxa"/>
            <w:tcBorders>
              <w:top w:val="single" w:color="auto" w:sz="4" w:space="0"/>
              <w:bottom w:val="single" w:color="auto" w:sz="4" w:space="0"/>
            </w:tcBorders>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每月1次</w:t>
            </w:r>
          </w:p>
        </w:tc>
        <w:tc>
          <w:tcPr>
            <w:tcW w:w="4600" w:type="dxa"/>
            <w:tcBorders>
              <w:top w:val="single" w:color="auto" w:sz="4" w:space="0"/>
              <w:bottom w:val="single" w:color="auto" w:sz="4" w:space="0"/>
              <w:right w:val="single" w:color="auto" w:sz="4" w:space="0"/>
            </w:tcBorders>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无灰尘、无污迹、无污垢、明亮洁净</w:t>
            </w:r>
          </w:p>
        </w:tc>
      </w:tr>
    </w:tbl>
    <w:p>
      <w:pPr>
        <w:spacing w:afterLines="100" w:line="520" w:lineRule="exact"/>
        <w:rPr>
          <w:rFonts w:hint="eastAsia" w:ascii="楷体_GB2312" w:eastAsia="楷体_GB2312" w:cs="楷体_GB2312"/>
          <w:b/>
          <w:sz w:val="24"/>
        </w:rPr>
      </w:pPr>
      <w:r>
        <w:rPr>
          <w:rFonts w:hint="eastAsia" w:ascii="楷体_GB2312" w:eastAsia="楷体_GB2312" w:cs="楷体_GB2312"/>
          <w:b/>
          <w:sz w:val="24"/>
        </w:rPr>
        <w:t>四、外场保洁（门前三包）</w:t>
      </w:r>
    </w:p>
    <w:tbl>
      <w:tblPr>
        <w:tblStyle w:val="7"/>
        <w:tblW w:w="97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4"/>
        <w:gridCol w:w="1795"/>
        <w:gridCol w:w="1531"/>
        <w:gridCol w:w="4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jc w:val="center"/>
        </w:trPr>
        <w:tc>
          <w:tcPr>
            <w:tcW w:w="1734" w:type="dxa"/>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区域</w:t>
            </w:r>
          </w:p>
        </w:tc>
        <w:tc>
          <w:tcPr>
            <w:tcW w:w="1795" w:type="dxa"/>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工作内容</w:t>
            </w:r>
          </w:p>
        </w:tc>
        <w:tc>
          <w:tcPr>
            <w:tcW w:w="1531" w:type="dxa"/>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时间要求</w:t>
            </w:r>
          </w:p>
        </w:tc>
        <w:tc>
          <w:tcPr>
            <w:tcW w:w="4673" w:type="dxa"/>
            <w:vAlign w:val="center"/>
          </w:tcPr>
          <w:p>
            <w:pPr>
              <w:tabs>
                <w:tab w:val="left" w:pos="540"/>
                <w:tab w:val="left" w:pos="720"/>
              </w:tabs>
              <w:spacing w:line="360" w:lineRule="auto"/>
              <w:jc w:val="center"/>
              <w:rPr>
                <w:rFonts w:hint="eastAsia" w:ascii="楷体_GB2312" w:eastAsia="楷体_GB2312" w:cs="楷体_GB2312"/>
                <w:b/>
                <w:sz w:val="24"/>
                <w:lang w:val="it-CH"/>
              </w:rPr>
            </w:pPr>
            <w:r>
              <w:rPr>
                <w:rFonts w:hint="eastAsia" w:ascii="楷体_GB2312" w:eastAsia="楷体_GB2312" w:cs="楷体_GB2312"/>
                <w:b/>
                <w:sz w:val="24"/>
                <w:lang w:val="it-CH"/>
              </w:rPr>
              <w:t>清洁标准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restart"/>
            <w:textDirection w:val="tbRlV"/>
            <w:vAlign w:val="center"/>
          </w:tcPr>
          <w:p>
            <w:pPr>
              <w:tabs>
                <w:tab w:val="left" w:pos="540"/>
                <w:tab w:val="left" w:pos="720"/>
              </w:tabs>
              <w:spacing w:line="360" w:lineRule="auto"/>
              <w:ind w:left="113" w:right="113"/>
              <w:jc w:val="center"/>
              <w:rPr>
                <w:rFonts w:hint="eastAsia" w:ascii="楷体_GB2312" w:eastAsia="楷体_GB2312" w:cs="楷体_GB2312"/>
                <w:sz w:val="24"/>
                <w:lang w:val="it-CH"/>
              </w:rPr>
            </w:pPr>
            <w:r>
              <w:rPr>
                <w:rFonts w:hint="eastAsia" w:ascii="楷体_GB2312" w:eastAsia="楷体_GB2312" w:cs="楷体_GB2312"/>
                <w:sz w:val="24"/>
                <w:lang w:val="it-CH"/>
              </w:rPr>
              <w:t>门 前 三包</w:t>
            </w: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清扫地面</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无垃圾、无杂物、无污迹、无烟头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8"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烟缸、垃圾筒</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每天一次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烟头少于5个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标志、标牌</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无灰尘、无杂物、无污迹、干净明亮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金属设施</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每周一次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无灰尘、无污渍、无印迹、光亮洁净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标志、标牌</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无灰尘、无污迹、无印迹、光滑洁净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植物叶、套盆</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无灰尘、无污渍、无印迹、内外洁净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清倒垃圾</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每日1次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内外洁净、无异味、更换垃圾袋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0" w:hRule="atLeast"/>
          <w:jc w:val="center"/>
        </w:trPr>
        <w:tc>
          <w:tcPr>
            <w:tcW w:w="1734" w:type="dxa"/>
            <w:vMerge w:val="continue"/>
            <w:vAlign w:val="center"/>
          </w:tcPr>
          <w:p>
            <w:pPr>
              <w:rPr>
                <w:rFonts w:hint="eastAsia"/>
                <w:sz w:val="24"/>
              </w:rPr>
            </w:pPr>
          </w:p>
        </w:tc>
        <w:tc>
          <w:tcPr>
            <w:tcW w:w="1795"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门窗、边框</w:t>
            </w:r>
          </w:p>
        </w:tc>
        <w:tc>
          <w:tcPr>
            <w:tcW w:w="1531" w:type="dxa"/>
            <w:vAlign w:val="center"/>
          </w:tcPr>
          <w:p>
            <w:pPr>
              <w:tabs>
                <w:tab w:val="left" w:pos="540"/>
                <w:tab w:val="left" w:pos="720"/>
              </w:tabs>
              <w:spacing w:line="360" w:lineRule="auto"/>
              <w:jc w:val="center"/>
              <w:rPr>
                <w:rFonts w:hint="eastAsia" w:ascii="楷体_GB2312" w:eastAsia="楷体_GB2312" w:cs="楷体_GB2312"/>
                <w:sz w:val="24"/>
                <w:lang w:val="it-CH"/>
              </w:rPr>
            </w:pPr>
            <w:r>
              <w:rPr>
                <w:rFonts w:hint="eastAsia" w:ascii="楷体_GB2312" w:eastAsia="楷体_GB2312" w:cs="楷体_GB2312"/>
                <w:sz w:val="24"/>
                <w:lang w:val="it-CH"/>
              </w:rPr>
              <w:t>每周1次</w:t>
            </w:r>
          </w:p>
        </w:tc>
        <w:tc>
          <w:tcPr>
            <w:tcW w:w="4673" w:type="dxa"/>
            <w:vAlign w:val="center"/>
          </w:tcPr>
          <w:p>
            <w:pPr>
              <w:tabs>
                <w:tab w:val="left" w:pos="540"/>
                <w:tab w:val="left" w:pos="720"/>
              </w:tabs>
              <w:spacing w:line="360" w:lineRule="auto"/>
              <w:rPr>
                <w:rFonts w:hint="eastAsia" w:ascii="楷体_GB2312" w:eastAsia="楷体_GB2312" w:cs="楷体_GB2312"/>
                <w:sz w:val="24"/>
                <w:lang w:val="it-CH"/>
              </w:rPr>
            </w:pPr>
            <w:r>
              <w:rPr>
                <w:rFonts w:hint="eastAsia" w:ascii="楷体_GB2312" w:eastAsia="楷体_GB2312" w:cs="楷体_GB2312"/>
                <w:sz w:val="24"/>
                <w:lang w:val="it-CH"/>
              </w:rPr>
              <w:t>无灰尘、无污渍、无印迹、内外洁净</w:t>
            </w:r>
          </w:p>
        </w:tc>
      </w:tr>
    </w:tbl>
    <w:p>
      <w:pPr>
        <w:spacing w:line="540" w:lineRule="exact"/>
        <w:rPr>
          <w:rFonts w:hint="eastAsia" w:ascii="楷体_GB2312" w:eastAsia="楷体_GB2312" w:cs="楷体_GB2312"/>
          <w:color w:val="000000"/>
          <w:sz w:val="24"/>
        </w:rPr>
      </w:pPr>
      <w:r>
        <w:rPr>
          <w:rFonts w:hint="eastAsia" w:ascii="楷体_GB2312" w:eastAsia="楷体_GB2312" w:cs="楷体_GB2312"/>
          <w:b/>
          <w:sz w:val="24"/>
          <w:lang w:val="it-CH"/>
        </w:rPr>
        <w:t>五、</w:t>
      </w:r>
      <w:r>
        <w:rPr>
          <w:rFonts w:hint="eastAsia" w:ascii="楷体_GB2312" w:eastAsia="楷体_GB2312" w:cs="楷体_GB2312"/>
          <w:b/>
          <w:sz w:val="24"/>
        </w:rPr>
        <w:t>垃圾处理</w:t>
      </w:r>
    </w:p>
    <w:p>
      <w:pPr>
        <w:spacing w:line="540" w:lineRule="exact"/>
        <w:ind w:firstLine="480" w:firstLineChars="200"/>
        <w:rPr>
          <w:rFonts w:hint="eastAsia" w:ascii="楷体_GB2312" w:eastAsia="楷体_GB2312" w:cs="楷体_GB2312"/>
          <w:color w:val="000000"/>
          <w:sz w:val="24"/>
        </w:rPr>
      </w:pPr>
      <w:r>
        <w:rPr>
          <w:rFonts w:hint="eastAsia" w:ascii="楷体_GB2312" w:eastAsia="楷体_GB2312" w:cs="楷体_GB2312"/>
          <w:sz w:val="24"/>
        </w:rPr>
        <w:t>垃圾的收集处理是大楼清扫保洁的重要项目。如果垃圾收集处理不当，不仅影响美观，还容易产生臭味，滋生各种细菌、害虫，污染环境，影响健康，现垃圾收集处理标准如下：</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1．每天至少倾倒垃圾桶一次。</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2．收集纸屑类垃圾，一般使用安装帆布袋的轻便小车，收集前要确认是否还有未熄灭的烟头，以防火灾。</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3．收集清运时，垃圾不能装得太满。对汤汁垃圾要作塑料袋密封包装处理，以防外溢。</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4．清运时，要选择适宜的时间和通道</w:t>
      </w:r>
      <w:r>
        <w:rPr>
          <w:rFonts w:hint="eastAsia" w:ascii="楷体_GB2312" w:eastAsia="楷体_GB2312" w:cs="楷体_GB2312"/>
          <w:sz w:val="24"/>
        </w:rPr>
        <mc:AlternateContent>
          <mc:Choice Requires="wps">
            <w:drawing>
              <wp:anchor distT="0" distB="0" distL="114300" distR="114300" simplePos="0" relativeHeight="251660288" behindDoc="0" locked="0" layoutInCell="1" allowOverlap="1">
                <wp:simplePos x="0" y="0"/>
                <wp:positionH relativeFrom="column">
                  <wp:posOffset>2247265</wp:posOffset>
                </wp:positionH>
                <wp:positionV relativeFrom="paragraph">
                  <wp:posOffset>-6305550</wp:posOffset>
                </wp:positionV>
                <wp:extent cx="635" cy="99060"/>
                <wp:effectExtent l="0" t="0" r="0" b="0"/>
                <wp:wrapNone/>
                <wp:docPr id="1" name="直线 1"/>
                <wp:cNvGraphicFramePr/>
                <a:graphic xmlns:a="http://schemas.openxmlformats.org/drawingml/2006/main">
                  <a:graphicData uri="http://schemas.microsoft.com/office/word/2010/wordprocessingShape">
                    <wps:wsp>
                      <wps:cNvCnPr/>
                      <wps:spPr>
                        <a:xfrm>
                          <a:off x="0" y="0"/>
                          <a:ext cx="952" cy="99059"/>
                        </a:xfrm>
                        <a:prstGeom prst="line">
                          <a:avLst/>
                        </a:prstGeom>
                        <a:noFill/>
                        <a:ln w="9525" cap="flat" cmpd="sng">
                          <a:noFill/>
                          <a:prstDash val="solid"/>
                          <a:round/>
                        </a:ln>
                        <a:effectLst/>
                      </wps:spPr>
                      <wps:bodyPr vert="horz" wrap="square" lIns="91440" tIns="45720" rIns="91440" bIns="45720" anchor="t" anchorCtr="false" upright="true">
                        <a:noAutofit/>
                      </wps:bodyPr>
                    </wps:wsp>
                  </a:graphicData>
                </a:graphic>
              </wp:anchor>
            </w:drawing>
          </mc:Choice>
          <mc:Fallback>
            <w:pict>
              <v:line id="直线 1" o:spid="_x0000_s1026" o:spt="20" style="position:absolute;left:0pt;margin-left:176.95pt;margin-top:-496.5pt;height:7.8pt;width:0.05pt;z-index:251660288;mso-width-relative:page;mso-height-relative:page;" filled="f" stroked="f" coordsize="21600,21600" o:gfxdata="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DwopQR3AAAAA0BAAAPAAAAAAAAAAEAIAAAADgAAABk&#10;cnMvZG93bnJldi54bWxQSwECFAAUAAAACACHTuJAf8bU0OwBAAC7AwAADgAAAAAAAAABACAAAABB&#10;AQAAZHJzL2Uyb0RvYy54bWxQSwUGAAAAAAYABgBZAQAAnwUAAAAA&#10;">
                <v:fill on="f" focussize="0,0"/>
                <v:stroke on="f" joinstyle="round"/>
                <v:imagedata o:title=""/>
                <o:lock v:ext="edit" aspectratio="f"/>
              </v:line>
            </w:pict>
          </mc:Fallback>
        </mc:AlternateContent>
      </w:r>
      <w:r>
        <w:rPr>
          <w:rFonts w:hint="eastAsia" w:ascii="楷体_GB2312" w:eastAsia="楷体_GB2312" w:cs="楷体_GB2312"/>
          <w:sz w:val="24"/>
        </w:rPr>
        <w:t>。</w:t>
      </w:r>
    </w:p>
    <w:p>
      <w:pPr>
        <w:tabs>
          <w:tab w:val="left" w:pos="0"/>
          <w:tab w:val="left" w:pos="720"/>
        </w:tabs>
        <w:spacing w:line="540" w:lineRule="exact"/>
        <w:rPr>
          <w:rFonts w:hint="eastAsia" w:ascii="楷体_GB2312" w:eastAsia="楷体_GB2312" w:cs="楷体_GB2312"/>
          <w:sz w:val="24"/>
        </w:rPr>
      </w:pPr>
      <w:r>
        <w:rPr>
          <w:rFonts w:hint="eastAsia" w:ascii="楷体_GB2312" w:eastAsia="楷体_GB2312" w:cs="楷体_GB2312"/>
          <w:sz w:val="24"/>
        </w:rPr>
        <w:t>5．垃圾须清运至雇主指定的地点，并保证垃圾清运不遗撒及运送通道干净整洁。</w:t>
      </w:r>
    </w:p>
    <w:p>
      <w:pPr>
        <w:pStyle w:val="6"/>
        <w:ind w:firstLine="2810" w:firstLineChars="1000"/>
        <w:jc w:val="both"/>
        <w:rPr>
          <w:rFonts w:ascii="Arial" w:hAnsi="Arial"/>
          <w:kern w:val="0"/>
          <w:sz w:val="28"/>
          <w:szCs w:val="28"/>
        </w:rPr>
      </w:pPr>
      <w:r>
        <w:rPr>
          <w:rFonts w:hint="eastAsia"/>
          <w:kern w:val="0"/>
          <w:sz w:val="28"/>
          <w:szCs w:val="28"/>
        </w:rPr>
        <w:t>第三章</w:t>
      </w:r>
      <w:r>
        <w:rPr>
          <w:kern w:val="0"/>
          <w:sz w:val="28"/>
          <w:szCs w:val="28"/>
        </w:rPr>
        <w:t>  </w:t>
      </w:r>
      <w:r>
        <w:rPr>
          <w:rFonts w:hint="eastAsia"/>
          <w:kern w:val="0"/>
          <w:sz w:val="28"/>
          <w:szCs w:val="28"/>
        </w:rPr>
        <w:t>服务期限</w:t>
      </w:r>
    </w:p>
    <w:p>
      <w:pPr>
        <w:widowControl/>
        <w:shd w:val="clear" w:color="auto" w:fill="FFFFFF"/>
        <w:snapToGrid w:val="0"/>
        <w:spacing w:line="420" w:lineRule="atLeast"/>
        <w:jc w:val="left"/>
        <w:rPr>
          <w:rFonts w:hint="eastAsia" w:ascii="楷体" w:hAnsi="楷体" w:eastAsia="楷体" w:cs="楷体"/>
          <w:b/>
          <w:bCs/>
          <w:kern w:val="0"/>
          <w:sz w:val="24"/>
        </w:rPr>
      </w:pPr>
      <w:r>
        <w:rPr>
          <w:rFonts w:hint="eastAsia" w:eastAsia="楷体_GB2312"/>
          <w:b/>
          <w:kern w:val="0"/>
          <w:sz w:val="24"/>
        </w:rPr>
        <w:t>第七条</w:t>
      </w:r>
      <w:r>
        <w:rPr>
          <w:kern w:val="0"/>
          <w:sz w:val="24"/>
        </w:rPr>
        <w:t>  </w:t>
      </w:r>
      <w:r>
        <w:rPr>
          <w:rFonts w:hint="eastAsia" w:ascii="楷体" w:hAnsi="楷体" w:eastAsia="楷体" w:cs="楷体"/>
          <w:kern w:val="0"/>
          <w:sz w:val="24"/>
          <w:lang w:eastAsia="zh-CN"/>
        </w:rPr>
        <w:t>服务期贰年，</w:t>
      </w:r>
      <w:r>
        <w:rPr>
          <w:rFonts w:hint="eastAsia" w:ascii="楷体" w:hAnsi="楷体" w:eastAsia="楷体" w:cs="楷体"/>
          <w:kern w:val="0"/>
          <w:sz w:val="24"/>
        </w:rPr>
        <w:t>有效期自</w:t>
      </w:r>
      <w:r>
        <w:rPr>
          <w:rFonts w:hint="eastAsia" w:ascii="楷体" w:hAnsi="楷体" w:eastAsia="楷体" w:cs="楷体"/>
          <w:b/>
          <w:bCs/>
          <w:kern w:val="0"/>
          <w:sz w:val="24"/>
          <w:u w:val="single"/>
        </w:rPr>
        <w:t>202</w:t>
      </w:r>
      <w:r>
        <w:rPr>
          <w:rFonts w:hint="eastAsia" w:ascii="楷体" w:hAnsi="楷体" w:eastAsia="楷体" w:cs="楷体"/>
          <w:b/>
          <w:bCs/>
          <w:kern w:val="0"/>
          <w:sz w:val="24"/>
          <w:u w:val="single"/>
          <w:lang w:val="en-US" w:eastAsia="zh-CN"/>
        </w:rPr>
        <w:t>3</w:t>
      </w:r>
      <w:r>
        <w:rPr>
          <w:rFonts w:hint="eastAsia" w:ascii="楷体" w:hAnsi="楷体" w:eastAsia="楷体" w:cs="楷体"/>
          <w:b/>
          <w:bCs/>
          <w:kern w:val="0"/>
          <w:sz w:val="24"/>
        </w:rPr>
        <w:t>年</w:t>
      </w:r>
      <w:r>
        <w:rPr>
          <w:rFonts w:hint="eastAsia" w:ascii="楷体" w:hAnsi="楷体" w:eastAsia="楷体" w:cs="楷体"/>
          <w:b/>
          <w:bCs/>
          <w:kern w:val="0"/>
          <w:sz w:val="24"/>
          <w:u w:val="single"/>
        </w:rPr>
        <w:t>1</w:t>
      </w:r>
      <w:r>
        <w:rPr>
          <w:rFonts w:hint="eastAsia" w:ascii="楷体" w:hAnsi="楷体" w:eastAsia="楷体" w:cs="楷体"/>
          <w:b/>
          <w:bCs/>
          <w:kern w:val="0"/>
          <w:sz w:val="24"/>
          <w:u w:val="single"/>
          <w:lang w:val="en-US" w:eastAsia="zh-CN"/>
        </w:rPr>
        <w:t>2</w:t>
      </w:r>
      <w:r>
        <w:rPr>
          <w:rFonts w:hint="eastAsia" w:ascii="楷体" w:hAnsi="楷体" w:eastAsia="楷体" w:cs="楷体"/>
          <w:b/>
          <w:bCs/>
          <w:kern w:val="0"/>
          <w:sz w:val="24"/>
        </w:rPr>
        <w:t>月</w:t>
      </w:r>
      <w:r>
        <w:rPr>
          <w:rFonts w:hint="eastAsia" w:ascii="楷体" w:hAnsi="楷体" w:eastAsia="楷体" w:cs="楷体"/>
          <w:b/>
          <w:bCs/>
          <w:kern w:val="0"/>
          <w:sz w:val="24"/>
          <w:u w:val="single"/>
        </w:rPr>
        <w:t xml:space="preserve"> 1</w:t>
      </w:r>
      <w:r>
        <w:rPr>
          <w:rFonts w:hint="eastAsia" w:ascii="楷体" w:hAnsi="楷体" w:eastAsia="楷体" w:cs="楷体"/>
          <w:b/>
          <w:bCs/>
          <w:kern w:val="0"/>
          <w:sz w:val="24"/>
        </w:rPr>
        <w:t>日始至</w:t>
      </w:r>
      <w:r>
        <w:rPr>
          <w:rFonts w:hint="eastAsia" w:ascii="楷体" w:hAnsi="楷体" w:eastAsia="楷体" w:cs="楷体"/>
          <w:b/>
          <w:bCs/>
          <w:kern w:val="0"/>
          <w:sz w:val="24"/>
          <w:u w:val="single"/>
        </w:rPr>
        <w:t>202</w:t>
      </w:r>
      <w:r>
        <w:rPr>
          <w:rFonts w:hint="eastAsia" w:ascii="楷体" w:hAnsi="楷体" w:eastAsia="楷体" w:cs="楷体"/>
          <w:b/>
          <w:bCs/>
          <w:kern w:val="0"/>
          <w:sz w:val="24"/>
          <w:u w:val="single"/>
          <w:lang w:val="en-US" w:eastAsia="zh-CN"/>
        </w:rPr>
        <w:t>5</w:t>
      </w:r>
      <w:r>
        <w:rPr>
          <w:rFonts w:hint="eastAsia" w:ascii="楷体" w:hAnsi="楷体" w:eastAsia="楷体" w:cs="楷体"/>
          <w:b/>
          <w:bCs/>
          <w:kern w:val="0"/>
          <w:sz w:val="24"/>
        </w:rPr>
        <w:t>年</w:t>
      </w:r>
      <w:r>
        <w:rPr>
          <w:rFonts w:hint="eastAsia" w:ascii="楷体" w:hAnsi="楷体" w:eastAsia="楷体" w:cs="楷体"/>
          <w:b/>
          <w:bCs/>
          <w:kern w:val="0"/>
          <w:sz w:val="24"/>
          <w:u w:val="single"/>
          <w:lang w:val="en-US" w:eastAsia="zh-CN"/>
        </w:rPr>
        <w:t>11</w:t>
      </w:r>
      <w:r>
        <w:rPr>
          <w:rFonts w:hint="eastAsia" w:ascii="楷体" w:hAnsi="楷体" w:eastAsia="楷体" w:cs="楷体"/>
          <w:b/>
          <w:bCs/>
          <w:kern w:val="0"/>
          <w:sz w:val="24"/>
          <w:u w:val="none"/>
        </w:rPr>
        <w:t>月</w:t>
      </w:r>
      <w:r>
        <w:rPr>
          <w:rFonts w:hint="eastAsia" w:ascii="楷体" w:hAnsi="楷体" w:eastAsia="楷体" w:cs="楷体"/>
          <w:b/>
          <w:bCs/>
          <w:kern w:val="0"/>
          <w:sz w:val="24"/>
          <w:u w:val="single"/>
        </w:rPr>
        <w:t>30</w:t>
      </w:r>
      <w:r>
        <w:rPr>
          <w:rFonts w:hint="eastAsia" w:ascii="楷体" w:hAnsi="楷体" w:eastAsia="楷体" w:cs="楷体"/>
          <w:b/>
          <w:bCs/>
          <w:kern w:val="0"/>
          <w:sz w:val="24"/>
        </w:rPr>
        <w:t>日止</w:t>
      </w:r>
    </w:p>
    <w:p>
      <w:pPr>
        <w:widowControl/>
        <w:shd w:val="clear" w:color="auto" w:fill="FFFFFF"/>
        <w:snapToGrid w:val="0"/>
        <w:spacing w:line="420" w:lineRule="atLeast"/>
        <w:ind w:left="1262" w:hanging="701"/>
        <w:jc w:val="left"/>
        <w:rPr>
          <w:rFonts w:hint="eastAsia"/>
          <w:b/>
          <w:bCs/>
          <w:kern w:val="0"/>
          <w:sz w:val="28"/>
          <w:szCs w:val="28"/>
        </w:rPr>
      </w:pPr>
      <w:r>
        <w:rPr>
          <w:rFonts w:ascii="楷体_GB2312" w:eastAsia="楷体_GB2312"/>
          <w:kern w:val="0"/>
          <w:sz w:val="24"/>
        </w:rPr>
        <w:t> </w:t>
      </w:r>
      <w:r>
        <w:rPr>
          <w:rFonts w:hint="eastAsia"/>
          <w:b/>
          <w:bCs/>
          <w:kern w:val="0"/>
          <w:sz w:val="24"/>
        </w:rPr>
        <w:t xml:space="preserve">                 </w:t>
      </w:r>
      <w:r>
        <w:rPr>
          <w:rFonts w:hint="eastAsia"/>
          <w:b/>
          <w:bCs/>
          <w:kern w:val="0"/>
          <w:sz w:val="28"/>
          <w:szCs w:val="28"/>
        </w:rPr>
        <w:t xml:space="preserve"> </w:t>
      </w:r>
    </w:p>
    <w:p>
      <w:pPr>
        <w:widowControl/>
        <w:shd w:val="clear" w:color="auto" w:fill="FFFFFF"/>
        <w:snapToGrid w:val="0"/>
        <w:spacing w:line="420" w:lineRule="atLeast"/>
        <w:ind w:left="1363" w:leftChars="649" w:firstLine="1031" w:firstLineChars="367"/>
        <w:jc w:val="left"/>
        <w:rPr>
          <w:rFonts w:hint="eastAsia"/>
          <w:b/>
          <w:bCs/>
          <w:kern w:val="0"/>
          <w:sz w:val="28"/>
          <w:szCs w:val="28"/>
        </w:rPr>
      </w:pPr>
      <w:r>
        <w:rPr>
          <w:rFonts w:hint="eastAsia"/>
          <w:b/>
          <w:bCs/>
          <w:kern w:val="0"/>
          <w:sz w:val="28"/>
          <w:szCs w:val="28"/>
        </w:rPr>
        <w:t>第四章</w:t>
      </w:r>
      <w:r>
        <w:rPr>
          <w:b/>
          <w:bCs/>
          <w:kern w:val="0"/>
          <w:sz w:val="28"/>
          <w:szCs w:val="28"/>
        </w:rPr>
        <w:t>  </w:t>
      </w:r>
      <w:r>
        <w:rPr>
          <w:rFonts w:hint="eastAsia"/>
          <w:b/>
          <w:bCs/>
          <w:kern w:val="0"/>
          <w:sz w:val="28"/>
          <w:szCs w:val="28"/>
        </w:rPr>
        <w:t>服务费用及支付方式</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第八条</w:t>
      </w:r>
      <w:r>
        <w:rPr>
          <w:rFonts w:hint="eastAsia" w:ascii="楷体_GB2312" w:eastAsia="楷体_GB2312" w:cs="宋体"/>
          <w:b/>
          <w:bCs/>
          <w:kern w:val="0"/>
          <w:sz w:val="24"/>
          <w:lang w:eastAsia="zh-CN"/>
        </w:rPr>
        <w:t>服务期贰年，每年</w:t>
      </w:r>
      <w:r>
        <w:rPr>
          <w:rFonts w:hint="eastAsia" w:ascii="楷体_GB2312" w:eastAsia="楷体_GB2312" w:cs="宋体"/>
          <w:b/>
          <w:bCs/>
          <w:kern w:val="0"/>
          <w:sz w:val="24"/>
        </w:rPr>
        <w:t>服务费用总额：</w:t>
      </w:r>
      <w:r>
        <w:rPr>
          <w:rFonts w:hint="eastAsia" w:ascii="楷体_GB2312" w:eastAsia="楷体_GB2312" w:cs="宋体"/>
          <w:b/>
          <w:bCs/>
          <w:kern w:val="0"/>
          <w:sz w:val="24"/>
          <w:lang w:val="en-US" w:eastAsia="zh-CN"/>
        </w:rPr>
        <w:t>1316，917.00</w:t>
      </w:r>
      <w:r>
        <w:rPr>
          <w:rFonts w:hint="eastAsia" w:ascii="楷体_GB2312" w:eastAsia="楷体_GB2312" w:cs="宋体"/>
          <w:b/>
          <w:bCs/>
          <w:kern w:val="0"/>
          <w:sz w:val="24"/>
        </w:rPr>
        <w:t>元（大写</w:t>
      </w:r>
      <w:r>
        <w:rPr>
          <w:rFonts w:ascii="楷体_GB2312" w:eastAsia="楷体_GB2312" w:cs="宋体"/>
          <w:b/>
          <w:bCs/>
          <w:kern w:val="0"/>
          <w:sz w:val="24"/>
        </w:rPr>
        <w:t>:</w:t>
      </w:r>
      <w:r>
        <w:rPr>
          <w:rFonts w:hint="eastAsia" w:ascii="楷体_GB2312" w:eastAsia="楷体_GB2312" w:cs="宋体"/>
          <w:b/>
          <w:bCs/>
          <w:kern w:val="0"/>
          <w:sz w:val="24"/>
          <w:lang w:eastAsia="zh-CN"/>
        </w:rPr>
        <w:t>壹</w:t>
      </w:r>
      <w:r>
        <w:rPr>
          <w:rFonts w:hint="eastAsia" w:ascii="楷体_GB2312" w:eastAsia="楷体_GB2312" w:cs="宋体"/>
          <w:b/>
          <w:bCs/>
          <w:kern w:val="0"/>
          <w:sz w:val="24"/>
        </w:rPr>
        <w:t>佰</w:t>
      </w:r>
      <w:r>
        <w:rPr>
          <w:rFonts w:hint="eastAsia" w:ascii="楷体_GB2312" w:eastAsia="楷体_GB2312" w:cs="宋体"/>
          <w:b/>
          <w:bCs/>
          <w:kern w:val="0"/>
          <w:sz w:val="24"/>
          <w:lang w:eastAsia="zh-CN"/>
        </w:rPr>
        <w:t>叁</w:t>
      </w:r>
      <w:r>
        <w:rPr>
          <w:rFonts w:hint="eastAsia" w:ascii="楷体_GB2312" w:eastAsia="楷体_GB2312" w:cs="宋体"/>
          <w:b/>
          <w:bCs/>
          <w:kern w:val="0"/>
          <w:sz w:val="24"/>
        </w:rPr>
        <w:t>拾</w:t>
      </w:r>
      <w:r>
        <w:rPr>
          <w:rFonts w:hint="eastAsia" w:ascii="楷体_GB2312" w:eastAsia="楷体_GB2312" w:cs="宋体"/>
          <w:b/>
          <w:bCs/>
          <w:kern w:val="0"/>
          <w:sz w:val="24"/>
          <w:lang w:eastAsia="zh-CN"/>
        </w:rPr>
        <w:t>壹</w:t>
      </w:r>
      <w:r>
        <w:rPr>
          <w:rFonts w:hint="eastAsia" w:ascii="楷体_GB2312" w:eastAsia="楷体_GB2312" w:cs="宋体"/>
          <w:b/>
          <w:bCs/>
          <w:kern w:val="0"/>
          <w:sz w:val="24"/>
        </w:rPr>
        <w:t>万</w:t>
      </w:r>
      <w:r>
        <w:rPr>
          <w:rFonts w:hint="eastAsia" w:ascii="楷体_GB2312" w:eastAsia="楷体_GB2312" w:cs="宋体"/>
          <w:b/>
          <w:bCs/>
          <w:kern w:val="0"/>
          <w:sz w:val="24"/>
          <w:lang w:eastAsia="zh-CN"/>
        </w:rPr>
        <w:t>陆仟玖佰壹拾柒</w:t>
      </w:r>
      <w:r>
        <w:rPr>
          <w:rFonts w:hint="eastAsia" w:ascii="楷体_GB2312" w:eastAsia="楷体_GB2312" w:cs="宋体"/>
          <w:b/>
          <w:bCs/>
          <w:kern w:val="0"/>
          <w:sz w:val="24"/>
        </w:rPr>
        <w:t>元）</w:t>
      </w:r>
      <w:r>
        <w:rPr>
          <w:rFonts w:hint="eastAsia" w:ascii="楷体_GB2312" w:eastAsia="楷体_GB2312" w:cs="宋体"/>
          <w:kern w:val="0"/>
          <w:sz w:val="24"/>
          <w:lang w:eastAsia="zh-CN"/>
        </w:rPr>
        <w:t>其中：（一）劳务派遣费用</w:t>
      </w:r>
      <w:r>
        <w:rPr>
          <w:rFonts w:hint="eastAsia" w:ascii="楷体_GB2312" w:eastAsia="楷体_GB2312" w:cs="宋体"/>
          <w:kern w:val="0"/>
          <w:sz w:val="24"/>
        </w:rPr>
        <w:t>年服务费用总额为</w:t>
      </w:r>
      <w:r>
        <w:rPr>
          <w:rFonts w:ascii="楷体_GB2312" w:eastAsia="楷体_GB2312" w:cs="宋体"/>
          <w:kern w:val="0"/>
          <w:sz w:val="24"/>
          <w:u w:val="single"/>
        </w:rPr>
        <w:t>：</w:t>
      </w:r>
      <w:r>
        <w:rPr>
          <w:rFonts w:hint="eastAsia" w:ascii="楷体_GB2312" w:eastAsia="楷体_GB2312" w:cs="宋体"/>
          <w:b/>
          <w:bCs/>
          <w:kern w:val="0"/>
          <w:sz w:val="24"/>
          <w:u w:val="single"/>
          <w:lang w:val="en-US" w:eastAsia="zh-CN"/>
        </w:rPr>
        <w:t>724，305</w:t>
      </w:r>
      <w:r>
        <w:rPr>
          <w:rFonts w:ascii="楷体_GB2312" w:eastAsia="楷体_GB2312" w:cs="宋体"/>
          <w:b/>
          <w:bCs/>
          <w:kern w:val="0"/>
          <w:sz w:val="24"/>
          <w:u w:val="single"/>
        </w:rPr>
        <w:t>.00</w:t>
      </w:r>
      <w:r>
        <w:rPr>
          <w:rFonts w:hint="eastAsia" w:ascii="楷体_GB2312" w:eastAsia="楷体_GB2312" w:cs="宋体"/>
          <w:b/>
          <w:bCs/>
          <w:kern w:val="0"/>
          <w:sz w:val="24"/>
        </w:rPr>
        <w:t>元</w:t>
      </w:r>
      <w:r>
        <w:rPr>
          <w:rFonts w:ascii="楷体_GB2312" w:eastAsia="楷体_GB2312" w:cs="宋体"/>
          <w:b/>
          <w:bCs/>
          <w:kern w:val="0"/>
          <w:sz w:val="24"/>
        </w:rPr>
        <w:t>(</w:t>
      </w:r>
      <w:r>
        <w:rPr>
          <w:rFonts w:hint="eastAsia" w:ascii="楷体_GB2312" w:eastAsia="楷体_GB2312" w:cs="宋体"/>
          <w:b/>
          <w:bCs/>
          <w:kern w:val="0"/>
          <w:sz w:val="24"/>
        </w:rPr>
        <w:t>大写</w:t>
      </w:r>
      <w:r>
        <w:rPr>
          <w:rFonts w:ascii="楷体_GB2312" w:eastAsia="楷体_GB2312" w:cs="宋体"/>
          <w:b/>
          <w:bCs/>
          <w:kern w:val="0"/>
          <w:sz w:val="24"/>
        </w:rPr>
        <w:t>:</w:t>
      </w:r>
      <w:r>
        <w:rPr>
          <w:rFonts w:hint="eastAsia" w:ascii="楷体_GB2312" w:eastAsia="楷体_GB2312" w:cs="宋体"/>
          <w:b/>
          <w:bCs/>
          <w:kern w:val="0"/>
          <w:sz w:val="24"/>
          <w:lang w:eastAsia="zh-CN"/>
        </w:rPr>
        <w:t>柒拾贰</w:t>
      </w:r>
      <w:r>
        <w:rPr>
          <w:rFonts w:hint="eastAsia" w:ascii="楷体_GB2312" w:eastAsia="楷体_GB2312" w:cs="宋体"/>
          <w:b/>
          <w:bCs/>
          <w:kern w:val="0"/>
          <w:sz w:val="24"/>
        </w:rPr>
        <w:t>万</w:t>
      </w:r>
      <w:r>
        <w:rPr>
          <w:rFonts w:hint="eastAsia" w:ascii="楷体_GB2312" w:eastAsia="楷体_GB2312" w:cs="宋体"/>
          <w:b/>
          <w:bCs/>
          <w:kern w:val="0"/>
          <w:sz w:val="24"/>
          <w:lang w:eastAsia="zh-CN"/>
        </w:rPr>
        <w:t>肆仟叁佰零伍</w:t>
      </w:r>
      <w:r>
        <w:rPr>
          <w:rFonts w:hint="eastAsia" w:ascii="楷体_GB2312" w:eastAsia="楷体_GB2312" w:cs="宋体"/>
          <w:b/>
          <w:bCs/>
          <w:kern w:val="0"/>
          <w:sz w:val="24"/>
        </w:rPr>
        <w:t>元</w:t>
      </w:r>
      <w:r>
        <w:rPr>
          <w:rFonts w:ascii="楷体_GB2312" w:eastAsia="楷体_GB2312" w:cs="宋体"/>
          <w:b/>
          <w:bCs/>
          <w:kern w:val="0"/>
          <w:sz w:val="24"/>
        </w:rPr>
        <w:t xml:space="preserve"> )</w:t>
      </w:r>
      <w:r>
        <w:rPr>
          <w:rFonts w:hint="eastAsia" w:ascii="楷体_GB2312" w:eastAsia="楷体_GB2312" w:cs="宋体"/>
          <w:kern w:val="0"/>
          <w:sz w:val="24"/>
        </w:rPr>
        <w:t>本合同签订后。甲方按照费用总额的比例按季度付款，</w:t>
      </w:r>
      <w:r>
        <w:rPr>
          <w:rFonts w:hint="eastAsia" w:ascii="楷体_GB2312" w:eastAsia="楷体_GB2312" w:cs="楷体_GB2312"/>
          <w:kern w:val="0"/>
          <w:sz w:val="24"/>
        </w:rPr>
        <w:t>每季度</w:t>
      </w:r>
      <w:r>
        <w:rPr>
          <w:rFonts w:hint="eastAsia" w:ascii="楷体_GB2312" w:eastAsia="楷体_GB2312" w:cs="宋体"/>
          <w:kern w:val="0"/>
          <w:sz w:val="24"/>
        </w:rPr>
        <w:t>支付金额为：</w:t>
      </w:r>
      <w:r>
        <w:rPr>
          <w:rFonts w:hint="eastAsia" w:ascii="楷体_GB2312" w:eastAsia="楷体_GB2312" w:cs="宋体"/>
          <w:b/>
          <w:bCs/>
          <w:kern w:val="0"/>
          <w:sz w:val="24"/>
          <w:u w:val="single"/>
          <w:lang w:val="en-US" w:eastAsia="zh-CN"/>
        </w:rPr>
        <w:t>181，076.25</w:t>
      </w:r>
      <w:r>
        <w:rPr>
          <w:rFonts w:hint="eastAsia" w:ascii="楷体_GB2312" w:eastAsia="楷体_GB2312" w:cs="宋体"/>
          <w:b/>
          <w:bCs/>
          <w:kern w:val="0"/>
          <w:sz w:val="24"/>
          <w:u w:val="single"/>
        </w:rPr>
        <w:t>元</w:t>
      </w:r>
      <w:r>
        <w:rPr>
          <w:rFonts w:hint="eastAsia" w:ascii="楷体_GB2312" w:eastAsia="楷体_GB2312" w:cs="宋体"/>
          <w:b/>
          <w:bCs/>
          <w:kern w:val="0"/>
          <w:sz w:val="24"/>
        </w:rPr>
        <w:t>（大写</w:t>
      </w:r>
      <w:r>
        <w:rPr>
          <w:rFonts w:hint="eastAsia" w:ascii="楷体_GB2312" w:eastAsia="楷体_GB2312" w:cs="宋体"/>
          <w:b/>
          <w:bCs/>
          <w:kern w:val="0"/>
          <w:sz w:val="24"/>
          <w:lang w:eastAsia="zh-CN"/>
        </w:rPr>
        <w:t>：壹</w:t>
      </w:r>
      <w:r>
        <w:rPr>
          <w:rFonts w:hint="eastAsia" w:ascii="楷体_GB2312" w:eastAsia="楷体_GB2312" w:cs="宋体"/>
          <w:b/>
          <w:bCs/>
          <w:kern w:val="0"/>
          <w:sz w:val="24"/>
        </w:rPr>
        <w:t>拾</w:t>
      </w:r>
      <w:r>
        <w:rPr>
          <w:rFonts w:hint="eastAsia" w:ascii="楷体_GB2312" w:eastAsia="楷体_GB2312" w:cs="宋体"/>
          <w:b/>
          <w:bCs/>
          <w:kern w:val="0"/>
          <w:sz w:val="24"/>
          <w:lang w:eastAsia="zh-CN"/>
        </w:rPr>
        <w:t>捌万壹仟零柒拾陆元贰角伍分）（二）</w:t>
      </w:r>
      <w:r>
        <w:rPr>
          <w:rFonts w:hint="eastAsia" w:ascii="楷体_GB2312" w:eastAsia="楷体_GB2312" w:cs="宋体"/>
          <w:b w:val="0"/>
          <w:bCs w:val="0"/>
          <w:kern w:val="0"/>
          <w:sz w:val="24"/>
          <w:lang w:eastAsia="zh-CN"/>
        </w:rPr>
        <w:t>物业服务费用</w:t>
      </w:r>
      <w:r>
        <w:rPr>
          <w:rFonts w:hint="eastAsia" w:ascii="楷体_GB2312" w:eastAsia="楷体_GB2312" w:cs="宋体"/>
          <w:kern w:val="0"/>
          <w:sz w:val="24"/>
        </w:rPr>
        <w:t>年服务费用总额为</w:t>
      </w:r>
      <w:r>
        <w:rPr>
          <w:rFonts w:ascii="楷体_GB2312" w:eastAsia="楷体_GB2312" w:cs="宋体"/>
          <w:kern w:val="0"/>
          <w:sz w:val="24"/>
        </w:rPr>
        <w:t>：</w:t>
      </w:r>
      <w:r>
        <w:rPr>
          <w:rFonts w:hint="eastAsia" w:ascii="楷体_GB2312" w:eastAsia="楷体_GB2312" w:cs="宋体"/>
          <w:b/>
          <w:bCs/>
          <w:kern w:val="0"/>
          <w:sz w:val="24"/>
          <w:u w:val="single"/>
          <w:lang w:val="en-US" w:eastAsia="zh-CN"/>
        </w:rPr>
        <w:t>592，612.00元</w:t>
      </w:r>
      <w:r>
        <w:rPr>
          <w:rFonts w:hint="eastAsia" w:ascii="楷体_GB2312" w:eastAsia="楷体_GB2312" w:cs="宋体"/>
          <w:b/>
          <w:bCs/>
          <w:kern w:val="0"/>
          <w:sz w:val="24"/>
        </w:rPr>
        <w:t>（大写</w:t>
      </w:r>
      <w:r>
        <w:rPr>
          <w:rFonts w:hint="eastAsia" w:ascii="楷体_GB2312" w:eastAsia="楷体_GB2312" w:cs="宋体"/>
          <w:b/>
          <w:bCs/>
          <w:kern w:val="0"/>
          <w:sz w:val="24"/>
          <w:lang w:eastAsia="zh-CN"/>
        </w:rPr>
        <w:t>：伍</w:t>
      </w:r>
      <w:r>
        <w:rPr>
          <w:rFonts w:hint="eastAsia" w:ascii="楷体_GB2312" w:eastAsia="楷体_GB2312" w:cs="宋体"/>
          <w:b/>
          <w:bCs/>
          <w:kern w:val="0"/>
          <w:sz w:val="24"/>
        </w:rPr>
        <w:t>拾</w:t>
      </w:r>
      <w:r>
        <w:rPr>
          <w:rFonts w:hint="eastAsia" w:ascii="楷体_GB2312" w:eastAsia="楷体_GB2312" w:cs="宋体"/>
          <w:b/>
          <w:bCs/>
          <w:kern w:val="0"/>
          <w:sz w:val="24"/>
          <w:lang w:eastAsia="zh-CN"/>
        </w:rPr>
        <w:t>玖万贰仟陆佰壹拾贰元）</w:t>
      </w:r>
      <w:r>
        <w:rPr>
          <w:rFonts w:hint="eastAsia" w:ascii="楷体_GB2312" w:eastAsia="楷体_GB2312" w:cs="宋体"/>
          <w:b/>
          <w:bCs/>
          <w:kern w:val="0"/>
          <w:sz w:val="24"/>
          <w:u w:val="single"/>
        </w:rPr>
        <w:t>本</w:t>
      </w:r>
      <w:r>
        <w:rPr>
          <w:rFonts w:hint="eastAsia" w:ascii="楷体_GB2312" w:eastAsia="楷体_GB2312" w:cs="宋体"/>
          <w:kern w:val="0"/>
          <w:sz w:val="24"/>
        </w:rPr>
        <w:t>合同签订后甲方按照费用总额的比例按季度付款，</w:t>
      </w:r>
      <w:r>
        <w:rPr>
          <w:rFonts w:hint="eastAsia" w:ascii="楷体_GB2312" w:eastAsia="楷体_GB2312" w:cs="楷体_GB2312"/>
          <w:kern w:val="0"/>
          <w:sz w:val="24"/>
        </w:rPr>
        <w:t>每季度</w:t>
      </w:r>
      <w:r>
        <w:rPr>
          <w:rFonts w:hint="eastAsia" w:ascii="楷体_GB2312" w:eastAsia="楷体_GB2312" w:cs="宋体"/>
          <w:kern w:val="0"/>
          <w:sz w:val="24"/>
        </w:rPr>
        <w:t>支付金额为：</w:t>
      </w:r>
      <w:r>
        <w:rPr>
          <w:rFonts w:hint="eastAsia" w:ascii="楷体_GB2312" w:eastAsia="楷体_GB2312" w:cs="宋体"/>
          <w:b/>
          <w:bCs/>
          <w:kern w:val="0"/>
          <w:sz w:val="24"/>
          <w:u w:val="single"/>
          <w:lang w:val="en-US" w:eastAsia="zh-CN"/>
        </w:rPr>
        <w:t>148，153.00</w:t>
      </w:r>
      <w:r>
        <w:rPr>
          <w:rFonts w:hint="eastAsia" w:ascii="楷体_GB2312" w:eastAsia="楷体_GB2312" w:cs="宋体"/>
          <w:b/>
          <w:bCs/>
          <w:kern w:val="0"/>
          <w:sz w:val="24"/>
          <w:u w:val="single"/>
        </w:rPr>
        <w:t>元</w:t>
      </w:r>
      <w:r>
        <w:rPr>
          <w:rFonts w:hint="eastAsia" w:ascii="楷体_GB2312" w:eastAsia="楷体_GB2312" w:cs="宋体"/>
          <w:b/>
          <w:bCs/>
          <w:kern w:val="0"/>
          <w:sz w:val="24"/>
        </w:rPr>
        <w:t>（大写</w:t>
      </w:r>
      <w:r>
        <w:rPr>
          <w:rFonts w:hint="eastAsia" w:ascii="楷体_GB2312" w:eastAsia="楷体_GB2312" w:cs="宋体"/>
          <w:b/>
          <w:bCs/>
          <w:kern w:val="0"/>
          <w:sz w:val="24"/>
          <w:lang w:eastAsia="zh-CN"/>
        </w:rPr>
        <w:t>：壹</w:t>
      </w:r>
      <w:r>
        <w:rPr>
          <w:rFonts w:hint="eastAsia" w:ascii="楷体_GB2312" w:eastAsia="楷体_GB2312" w:cs="宋体"/>
          <w:b/>
          <w:bCs/>
          <w:kern w:val="0"/>
          <w:sz w:val="24"/>
        </w:rPr>
        <w:t>拾</w:t>
      </w:r>
      <w:r>
        <w:rPr>
          <w:rFonts w:hint="eastAsia" w:ascii="楷体_GB2312" w:eastAsia="楷体_GB2312" w:cs="宋体"/>
          <w:b/>
          <w:bCs/>
          <w:kern w:val="0"/>
          <w:sz w:val="24"/>
          <w:lang w:eastAsia="zh-CN"/>
        </w:rPr>
        <w:t>肆</w:t>
      </w:r>
      <w:r>
        <w:rPr>
          <w:rFonts w:hint="eastAsia" w:ascii="楷体_GB2312" w:eastAsia="楷体_GB2312" w:cs="宋体"/>
          <w:b/>
          <w:bCs/>
          <w:kern w:val="0"/>
          <w:sz w:val="24"/>
        </w:rPr>
        <w:t>万</w:t>
      </w:r>
      <w:r>
        <w:rPr>
          <w:rFonts w:hint="eastAsia" w:ascii="楷体_GB2312" w:eastAsia="楷体_GB2312" w:cs="宋体"/>
          <w:b/>
          <w:bCs/>
          <w:kern w:val="0"/>
          <w:sz w:val="24"/>
          <w:lang w:eastAsia="zh-CN"/>
        </w:rPr>
        <w:t>捌</w:t>
      </w:r>
      <w:r>
        <w:rPr>
          <w:rFonts w:hint="eastAsia" w:ascii="楷体_GB2312" w:eastAsia="楷体_GB2312" w:cs="宋体"/>
          <w:b/>
          <w:bCs/>
          <w:kern w:val="0"/>
          <w:sz w:val="24"/>
        </w:rPr>
        <w:t>仟</w:t>
      </w:r>
      <w:r>
        <w:rPr>
          <w:rFonts w:hint="eastAsia" w:ascii="楷体_GB2312" w:eastAsia="楷体_GB2312" w:cs="宋体"/>
          <w:b/>
          <w:bCs/>
          <w:kern w:val="0"/>
          <w:sz w:val="24"/>
          <w:lang w:eastAsia="zh-CN"/>
        </w:rPr>
        <w:t>壹佰伍拾叁</w:t>
      </w:r>
      <w:r>
        <w:rPr>
          <w:rFonts w:hint="eastAsia" w:ascii="楷体_GB2312" w:eastAsia="楷体_GB2312" w:cs="宋体"/>
          <w:b/>
          <w:bCs/>
          <w:kern w:val="0"/>
          <w:sz w:val="24"/>
        </w:rPr>
        <w:t>元）</w:t>
      </w:r>
      <w:r>
        <w:rPr>
          <w:rFonts w:hint="eastAsia" w:ascii="楷体_GB2312" w:eastAsia="楷体_GB2312" w:cs="宋体"/>
          <w:kern w:val="0"/>
          <w:sz w:val="24"/>
        </w:rPr>
        <w:t>费用支付时间为每服务季度的第一个月10日前。甲方向乙方支付的全年服务费用中包含劳务人员的社会保险等费用，如乙方未按时给劳务人员缴纳社会保险，因此产生的劳务纠纷与甲方无任何关系。</w:t>
      </w:r>
    </w:p>
    <w:p>
      <w:pPr>
        <w:keepNext w:val="0"/>
        <w:keepLines w:val="0"/>
        <w:pageBreakBefore w:val="0"/>
        <w:widowControl w:val="0"/>
        <w:shd w:val="clear" w:color="auto" w:fill="FFFFFF"/>
        <w:kinsoku/>
        <w:wordWrap/>
        <w:overflowPunct/>
        <w:topLinePunct w:val="0"/>
        <w:autoSpaceDE/>
        <w:autoSpaceDN/>
        <w:bidi w:val="0"/>
        <w:adjustRightInd w:val="0"/>
        <w:snapToGrid w:val="0"/>
        <w:spacing w:line="440" w:lineRule="exact"/>
        <w:ind w:left="0" w:leftChars="0"/>
        <w:jc w:val="left"/>
        <w:rPr>
          <w:rFonts w:hint="eastAsia" w:ascii="楷体_GB2312" w:eastAsia="楷体_GB2312" w:cs="宋体"/>
          <w:b w:val="0"/>
          <w:bCs w:val="0"/>
          <w:color w:val="auto"/>
          <w:kern w:val="0"/>
          <w:sz w:val="24"/>
          <w:u w:val="none"/>
          <w:lang w:val="en-US" w:eastAsia="zh-CN"/>
        </w:rPr>
      </w:pPr>
      <w:r>
        <w:rPr>
          <w:rFonts w:hint="eastAsia" w:ascii="楷体_GB2312" w:eastAsia="楷体_GB2312" w:cs="宋体"/>
          <w:b/>
          <w:bCs/>
          <w:kern w:val="0"/>
          <w:sz w:val="24"/>
        </w:rPr>
        <w:t>第九条</w:t>
      </w:r>
      <w:r>
        <w:rPr>
          <w:rFonts w:hint="eastAsia" w:ascii="楷体_GB2312" w:eastAsia="楷体_GB2312" w:cs="宋体"/>
          <w:b w:val="0"/>
          <w:bCs w:val="0"/>
          <w:color w:val="auto"/>
          <w:kern w:val="0"/>
          <w:sz w:val="24"/>
          <w:u w:val="none"/>
          <w:lang w:eastAsia="zh-CN"/>
        </w:rPr>
        <w:t>甲</w:t>
      </w:r>
      <w:r>
        <w:rPr>
          <w:rFonts w:hint="eastAsia" w:ascii="楷体_GB2312" w:eastAsia="楷体_GB2312" w:cs="楷体_GB2312"/>
          <w:b w:val="0"/>
          <w:bCs w:val="0"/>
          <w:color w:val="auto"/>
          <w:kern w:val="0"/>
          <w:sz w:val="24"/>
          <w:u w:val="none"/>
          <w:lang w:val="en-US" w:eastAsia="zh-CN"/>
        </w:rPr>
        <w:t>方</w:t>
      </w:r>
      <w:r>
        <w:rPr>
          <w:rFonts w:hint="eastAsia" w:ascii="楷体_GB2312" w:eastAsia="楷体_GB2312" w:cs="宋体"/>
          <w:b w:val="0"/>
          <w:bCs w:val="0"/>
          <w:color w:val="auto"/>
          <w:kern w:val="0"/>
          <w:sz w:val="24"/>
          <w:u w:val="none"/>
          <w:lang w:val="en-US" w:eastAsia="zh-CN"/>
        </w:rPr>
        <w:t>按照宁夏回族自治区政府</w:t>
      </w:r>
      <w:r>
        <w:rPr>
          <w:rFonts w:ascii="楷体_GB2312" w:eastAsia="楷体_GB2312" w:cs="宋体"/>
          <w:b w:val="0"/>
          <w:bCs w:val="0"/>
          <w:color w:val="auto"/>
          <w:kern w:val="0"/>
          <w:sz w:val="24"/>
          <w:u w:val="none"/>
          <w:lang w:val="en-US" w:eastAsia="zh-CN"/>
        </w:rPr>
        <w:t>每年</w:t>
      </w:r>
      <w:r>
        <w:rPr>
          <w:rFonts w:hint="eastAsia" w:ascii="楷体_GB2312" w:eastAsia="楷体_GB2312" w:cs="宋体"/>
          <w:b w:val="0"/>
          <w:bCs w:val="0"/>
          <w:color w:val="auto"/>
          <w:kern w:val="0"/>
          <w:sz w:val="24"/>
          <w:u w:val="none"/>
          <w:lang w:val="en-US" w:eastAsia="zh-CN"/>
        </w:rPr>
        <w:t>出台的最新政策规定和依据，给</w:t>
      </w:r>
      <w:r>
        <w:rPr>
          <w:rFonts w:hint="eastAsia" w:ascii="楷体_GB2312" w:eastAsia="楷体_GB2312" w:cs="楷体_GB2312"/>
          <w:b w:val="0"/>
          <w:bCs w:val="0"/>
          <w:color w:val="auto"/>
          <w:kern w:val="0"/>
          <w:sz w:val="24"/>
          <w:u w:val="none"/>
          <w:lang w:val="en-US" w:eastAsia="zh-CN"/>
        </w:rPr>
        <w:t>乙方员工调整社会平</w:t>
      </w:r>
      <w:r>
        <w:rPr>
          <w:rFonts w:hint="eastAsia" w:ascii="楷体_GB2312" w:eastAsia="楷体_GB2312" w:cs="宋体"/>
          <w:b w:val="0"/>
          <w:bCs w:val="0"/>
          <w:color w:val="auto"/>
          <w:kern w:val="0"/>
          <w:sz w:val="24"/>
          <w:u w:val="none"/>
          <w:lang w:val="en-US" w:eastAsia="zh-CN"/>
        </w:rPr>
        <w:t>均工资和</w:t>
      </w:r>
      <w:r>
        <w:rPr>
          <w:rFonts w:ascii="楷体_GB2312" w:eastAsia="楷体_GB2312" w:cs="宋体"/>
          <w:b w:val="0"/>
          <w:bCs w:val="0"/>
          <w:color w:val="auto"/>
          <w:kern w:val="0"/>
          <w:sz w:val="24"/>
          <w:u w:val="none"/>
          <w:lang w:val="en-US" w:eastAsia="zh-CN"/>
        </w:rPr>
        <w:t>社会</w:t>
      </w:r>
      <w:r>
        <w:rPr>
          <w:rFonts w:hint="eastAsia" w:ascii="楷体_GB2312" w:eastAsia="楷体_GB2312" w:cs="宋体"/>
          <w:b w:val="0"/>
          <w:bCs w:val="0"/>
          <w:color w:val="auto"/>
          <w:kern w:val="0"/>
          <w:sz w:val="24"/>
          <w:u w:val="none"/>
          <w:lang w:val="en-US" w:eastAsia="zh-CN"/>
        </w:rPr>
        <w:t>养老保险金增加差额。</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第十条</w:t>
      </w:r>
      <w:r>
        <w:rPr>
          <w:rFonts w:hint="eastAsia" w:ascii="楷体_GB2312" w:eastAsia="楷体_GB2312" w:cs="宋体"/>
          <w:kern w:val="0"/>
          <w:sz w:val="24"/>
        </w:rPr>
        <w:t>特约服务：在本合作期内，甲方因单一事项需要乙方提供服务的事务，称为特约服务。相应的特约服务费，由甲方与乙方另行约定。</w:t>
      </w:r>
    </w:p>
    <w:p>
      <w:pPr>
        <w:pStyle w:val="6"/>
        <w:rPr>
          <w:rFonts w:ascii="Arial" w:hAnsi="Arial"/>
          <w:kern w:val="0"/>
          <w:sz w:val="28"/>
          <w:szCs w:val="28"/>
        </w:rPr>
      </w:pPr>
      <w:r>
        <w:rPr>
          <w:rFonts w:hint="eastAsia"/>
          <w:kern w:val="0"/>
          <w:sz w:val="28"/>
          <w:szCs w:val="28"/>
        </w:rPr>
        <w:t>第五章</w:t>
      </w:r>
      <w:r>
        <w:rPr>
          <w:kern w:val="0"/>
          <w:sz w:val="28"/>
          <w:szCs w:val="28"/>
        </w:rPr>
        <w:t>  </w:t>
      </w:r>
      <w:r>
        <w:rPr>
          <w:rFonts w:hint="eastAsia"/>
          <w:kern w:val="0"/>
          <w:sz w:val="28"/>
          <w:szCs w:val="28"/>
        </w:rPr>
        <w:t>双方的权利义务</w:t>
      </w:r>
    </w:p>
    <w:p>
      <w:pPr>
        <w:widowControl/>
        <w:shd w:val="clear" w:color="auto" w:fill="FFFFFF"/>
        <w:snapToGrid w:val="0"/>
        <w:spacing w:line="420" w:lineRule="atLeast"/>
        <w:jc w:val="left"/>
        <w:rPr>
          <w:rFonts w:hint="eastAsia" w:ascii="宋体" w:cs="宋体"/>
          <w:kern w:val="0"/>
          <w:sz w:val="24"/>
        </w:rPr>
      </w:pPr>
      <w:r>
        <w:rPr>
          <w:rFonts w:hint="eastAsia" w:ascii="宋体" w:cs="宋体"/>
          <w:b/>
          <w:bCs/>
          <w:kern w:val="0"/>
          <w:sz w:val="24"/>
        </w:rPr>
        <w:t>第</w:t>
      </w:r>
      <w:r>
        <w:rPr>
          <w:rFonts w:ascii="宋体" w:cs="宋体"/>
          <w:b/>
          <w:bCs/>
          <w:kern w:val="0"/>
          <w:sz w:val="24"/>
        </w:rPr>
        <w:t>十</w:t>
      </w:r>
      <w:r>
        <w:rPr>
          <w:rFonts w:hint="eastAsia" w:ascii="宋体" w:cs="宋体"/>
          <w:b/>
          <w:bCs/>
          <w:kern w:val="0"/>
          <w:sz w:val="24"/>
        </w:rPr>
        <w:t>一条</w:t>
      </w:r>
      <w:r>
        <w:rPr>
          <w:rFonts w:ascii="宋体" w:cs="宋体"/>
          <w:b/>
          <w:bCs/>
          <w:kern w:val="0"/>
          <w:sz w:val="24"/>
        </w:rPr>
        <w:t>  </w:t>
      </w:r>
      <w:r>
        <w:rPr>
          <w:rFonts w:hint="eastAsia" w:ascii="楷体_GB2312" w:eastAsia="楷体_GB2312" w:cs="宋体"/>
          <w:kern w:val="0"/>
          <w:sz w:val="24"/>
        </w:rPr>
        <w:t>甲方的权利和义务</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1</w:t>
      </w:r>
      <w:r>
        <w:rPr>
          <w:rFonts w:hint="eastAsia" w:ascii="楷体_GB2312" w:eastAsia="楷体_GB2312" w:cs="宋体"/>
          <w:kern w:val="0"/>
          <w:sz w:val="24"/>
        </w:rPr>
        <w:t>．甲方有权对乙方的物业管理服务人员及工作随时进行检查和监督；</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2</w:t>
      </w:r>
      <w:r>
        <w:rPr>
          <w:rFonts w:hint="eastAsia" w:ascii="楷体_GB2312" w:eastAsia="楷体_GB2312" w:cs="宋体"/>
          <w:kern w:val="0"/>
          <w:sz w:val="24"/>
        </w:rPr>
        <w:t>．对乙方达不到服务质量的区域和项目提出限期整改的意见和方案；</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 xml:space="preserve">3. </w:t>
      </w:r>
      <w:r>
        <w:rPr>
          <w:rFonts w:hint="eastAsia" w:ascii="楷体_GB2312" w:eastAsia="楷体_GB2312" w:cs="宋体"/>
          <w:kern w:val="0"/>
          <w:sz w:val="24"/>
          <w:shd w:val="clear" w:color="auto" w:fill="FFFFFF"/>
        </w:rPr>
        <w:t>甲方在合同生效之日起</w:t>
      </w:r>
      <w:r>
        <w:rPr>
          <w:rFonts w:ascii="楷体_GB2312" w:eastAsia="楷体_GB2312" w:cs="宋体"/>
          <w:kern w:val="0"/>
          <w:sz w:val="24"/>
          <w:shd w:val="clear" w:color="auto" w:fill="FFFFFF"/>
        </w:rPr>
        <w:t>3</w:t>
      </w:r>
      <w:r>
        <w:rPr>
          <w:rFonts w:hint="eastAsia" w:ascii="楷体_GB2312" w:eastAsia="楷体_GB2312" w:cs="宋体"/>
          <w:kern w:val="0"/>
          <w:sz w:val="24"/>
          <w:shd w:val="clear" w:color="auto" w:fill="FFFFFF"/>
        </w:rPr>
        <w:t>日内按约定向乙方提供管理用房；</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4</w:t>
      </w:r>
      <w:r>
        <w:rPr>
          <w:rFonts w:hint="eastAsia" w:ascii="楷体_GB2312" w:eastAsia="楷体_GB2312" w:cs="宋体"/>
          <w:kern w:val="0"/>
          <w:sz w:val="24"/>
        </w:rPr>
        <w:t>．按照本合同约定的时间和数额支付物业服务费用；</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shd w:val="clear" w:color="auto" w:fill="FFFFFF"/>
        </w:rPr>
        <w:t>5</w:t>
      </w:r>
      <w:r>
        <w:rPr>
          <w:rFonts w:hint="eastAsia" w:ascii="楷体_GB2312" w:eastAsia="楷体_GB2312" w:cs="宋体"/>
          <w:kern w:val="0"/>
          <w:sz w:val="24"/>
          <w:shd w:val="clear" w:color="auto" w:fill="FFFFFF"/>
        </w:rPr>
        <w:t>．负责处理非乙方原因而产生的各种纠纷；</w:t>
      </w:r>
      <w:r>
        <w:rPr>
          <w:rFonts w:ascii="楷体_GB2312" w:eastAsia="楷体_GB2312" w:cs="宋体"/>
          <w:kern w:val="0"/>
          <w:sz w:val="24"/>
        </w:rPr>
        <w:br w:type="textWrapping"/>
      </w:r>
      <w:r>
        <w:rPr>
          <w:rFonts w:ascii="楷体_GB2312" w:eastAsia="楷体_GB2312" w:cs="宋体"/>
          <w:kern w:val="0"/>
          <w:sz w:val="24"/>
          <w:shd w:val="clear" w:color="auto" w:fill="FFFFFF"/>
        </w:rPr>
        <w:t>6</w:t>
      </w:r>
      <w:r>
        <w:rPr>
          <w:rFonts w:hint="eastAsia" w:ascii="楷体_GB2312" w:eastAsia="楷体_GB2312" w:cs="宋体"/>
          <w:kern w:val="0"/>
          <w:sz w:val="24"/>
          <w:shd w:val="clear" w:color="auto" w:fill="FFFFFF"/>
        </w:rPr>
        <w:t>．协助乙方做好物业管理工作和宣传教育、文化活动。</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第十二条</w:t>
      </w:r>
      <w:r>
        <w:rPr>
          <w:rFonts w:ascii="宋体" w:hAnsi="宋体" w:eastAsia="楷体_GB2312" w:cs="宋体"/>
          <w:kern w:val="0"/>
          <w:sz w:val="24"/>
        </w:rPr>
        <w:t>  </w:t>
      </w:r>
      <w:r>
        <w:rPr>
          <w:rFonts w:hint="eastAsia" w:ascii="楷体_GB2312" w:eastAsia="楷体_GB2312" w:cs="宋体"/>
          <w:kern w:val="0"/>
          <w:sz w:val="24"/>
        </w:rPr>
        <w:t>乙方的权利和义务</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1.</w:t>
      </w:r>
      <w:r>
        <w:rPr>
          <w:rFonts w:hint="eastAsia" w:ascii="楷体_GB2312" w:eastAsia="楷体_GB2312" w:cs="宋体"/>
          <w:kern w:val="0"/>
          <w:sz w:val="24"/>
        </w:rPr>
        <w:t>按照合同的物业管理事项和服务质量配备服务人员，提供相应的服务；</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2.</w:t>
      </w:r>
      <w:r>
        <w:rPr>
          <w:rFonts w:hint="eastAsia" w:ascii="楷体_GB2312" w:eastAsia="楷体_GB2312" w:cs="宋体"/>
          <w:kern w:val="0"/>
          <w:sz w:val="24"/>
        </w:rPr>
        <w:t>按照本合同及相关附件约定的收费项目、标准、和方式向甲方收取物业服务费；</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3.</w:t>
      </w:r>
      <w:r>
        <w:rPr>
          <w:rFonts w:hint="eastAsia" w:ascii="楷体_GB2312" w:eastAsia="楷体_GB2312" w:cs="宋体"/>
          <w:kern w:val="0"/>
          <w:sz w:val="24"/>
        </w:rPr>
        <w:t>乙方根据甲方的委托，提供本合同约定以外的服务项目，服务报酬由双方商定；</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 xml:space="preserve">4. </w:t>
      </w:r>
      <w:r>
        <w:rPr>
          <w:rFonts w:hint="eastAsia" w:ascii="楷体_GB2312" w:eastAsia="楷体_GB2312" w:cs="宋体"/>
          <w:kern w:val="0"/>
          <w:sz w:val="24"/>
        </w:rPr>
        <w:t>向甲方通告本区域内有关物业管理服务的重大事项及时处理投诉，接受甲方的监督。</w:t>
      </w:r>
    </w:p>
    <w:p>
      <w:pPr>
        <w:widowControl/>
        <w:shd w:val="clear" w:color="auto" w:fill="FFFFFF"/>
        <w:snapToGrid w:val="0"/>
        <w:spacing w:line="420" w:lineRule="atLeast"/>
        <w:jc w:val="left"/>
        <w:rPr>
          <w:rFonts w:hint="eastAsia" w:ascii="楷体_GB2312" w:eastAsia="楷体_GB2312" w:cs="宋体"/>
          <w:kern w:val="0"/>
          <w:sz w:val="24"/>
        </w:rPr>
      </w:pPr>
      <w:r>
        <w:rPr>
          <w:rFonts w:ascii="楷体_GB2312" w:eastAsia="楷体_GB2312" w:cs="宋体"/>
          <w:kern w:val="0"/>
          <w:sz w:val="24"/>
        </w:rPr>
        <w:t xml:space="preserve">5. </w:t>
      </w:r>
      <w:r>
        <w:rPr>
          <w:rFonts w:hint="eastAsia" w:ascii="楷体_GB2312" w:eastAsia="楷体_GB2312" w:cs="宋体"/>
          <w:kern w:val="0"/>
          <w:sz w:val="24"/>
        </w:rPr>
        <w:t>非经甲方许可并办理有关手续，不得擅自改变公共建筑和共用设施设备的用途，不得擅自占用、挖掘本物业管理区域内的道路、场地；</w:t>
      </w:r>
    </w:p>
    <w:p>
      <w:pPr>
        <w:widowControl/>
        <w:shd w:val="clear" w:color="auto" w:fill="FFFFFF"/>
        <w:snapToGrid w:val="0"/>
        <w:spacing w:line="420" w:lineRule="atLeast"/>
        <w:jc w:val="left"/>
        <w:rPr>
          <w:rFonts w:hint="eastAsia" w:ascii="楷体_GB2312" w:eastAsia="楷体_GB2312" w:cs="宋体"/>
          <w:kern w:val="0"/>
          <w:sz w:val="24"/>
        </w:rPr>
      </w:pPr>
      <w:r>
        <w:rPr>
          <w:rFonts w:hint="eastAsia" w:ascii="楷体_GB2312" w:eastAsia="楷体_GB2312" w:cs="宋体"/>
          <w:kern w:val="0"/>
          <w:sz w:val="24"/>
        </w:rPr>
        <w:t>6、本合同期满前３0天，乙方应就物业服务合同解除或合同续签事宜书面通知甲方。双方商定续签合同的，应当重新签订物业服务合同。双方未能达成协议的，甲方应在本合</w:t>
      </w:r>
    </w:p>
    <w:p>
      <w:pPr>
        <w:widowControl/>
        <w:shd w:val="clear" w:color="auto" w:fill="FFFFFF"/>
        <w:snapToGrid w:val="0"/>
        <w:spacing w:line="420" w:lineRule="atLeast"/>
        <w:jc w:val="left"/>
        <w:rPr>
          <w:rFonts w:hint="eastAsia" w:ascii="楷体_GB2312" w:eastAsia="楷体_GB2312" w:cs="宋体"/>
          <w:kern w:val="0"/>
          <w:sz w:val="24"/>
        </w:rPr>
      </w:pPr>
      <w:r>
        <w:rPr>
          <w:rFonts w:hint="eastAsia" w:ascii="楷体_GB2312" w:eastAsia="楷体_GB2312" w:cs="宋体"/>
          <w:kern w:val="0"/>
          <w:sz w:val="24"/>
        </w:rPr>
        <w:t>同期满前选聘新的物业服务企业。</w:t>
      </w:r>
    </w:p>
    <w:p>
      <w:pPr>
        <w:widowControl/>
        <w:shd w:val="clear" w:color="auto" w:fill="FFFFFF"/>
        <w:snapToGrid w:val="0"/>
        <w:spacing w:line="420" w:lineRule="atLeast"/>
        <w:ind w:left="170"/>
        <w:jc w:val="left"/>
        <w:rPr>
          <w:rFonts w:hint="eastAsia" w:ascii="楷体_GB2312" w:eastAsia="楷体_GB2312" w:cs="宋体"/>
          <w:kern w:val="0"/>
          <w:sz w:val="24"/>
        </w:rPr>
      </w:pPr>
      <w:r>
        <w:rPr>
          <w:rFonts w:hint="eastAsia" w:ascii="楷体_GB2312" w:eastAsia="楷体_GB2312" w:cs="宋体"/>
          <w:kern w:val="0"/>
          <w:sz w:val="24"/>
        </w:rPr>
        <w:t>7.本合同终止时，乙方应将物业管理用房、物业管理相关资料等移交给甲方。</w:t>
      </w:r>
    </w:p>
    <w:p>
      <w:pPr>
        <w:widowControl/>
        <w:shd w:val="clear" w:color="auto" w:fill="FFFFFF"/>
        <w:snapToGrid w:val="0"/>
        <w:spacing w:line="420" w:lineRule="atLeast"/>
        <w:ind w:left="170"/>
        <w:jc w:val="left"/>
        <w:rPr>
          <w:rFonts w:hint="eastAsia" w:ascii="楷体_GB2312" w:eastAsia="楷体_GB2312" w:cs="宋体"/>
          <w:kern w:val="0"/>
          <w:sz w:val="24"/>
        </w:rPr>
      </w:pPr>
      <w:r>
        <w:rPr>
          <w:rFonts w:hint="eastAsia" w:ascii="楷体_GB2312" w:eastAsia="楷体_GB2312" w:cs="宋体"/>
          <w:kern w:val="0"/>
          <w:sz w:val="24"/>
        </w:rPr>
        <w:t>8.本合同终止后，甲乙双方应做好债权债务的处理，包括物业管理费用的清算，对外签署的各种协议等；乙方应协助甲方作好物业服务的交接和善后工作。</w:t>
      </w:r>
    </w:p>
    <w:p>
      <w:pPr>
        <w:widowControl/>
        <w:shd w:val="clear" w:color="auto" w:fill="FFFFFF"/>
        <w:snapToGrid w:val="0"/>
        <w:spacing w:line="420" w:lineRule="atLeast"/>
        <w:ind w:left="170"/>
        <w:jc w:val="left"/>
        <w:rPr>
          <w:rFonts w:hint="eastAsia" w:ascii="楷体_GB2312" w:eastAsia="楷体_GB2312" w:cs="宋体"/>
          <w:kern w:val="0"/>
          <w:sz w:val="24"/>
        </w:rPr>
      </w:pPr>
      <w:r>
        <w:rPr>
          <w:rFonts w:hint="eastAsia" w:ascii="楷体_GB2312" w:eastAsia="楷体_GB2312" w:cs="宋体"/>
          <w:kern w:val="0"/>
          <w:sz w:val="24"/>
        </w:rPr>
        <w:t>9.为其服务人员提供必要的劳动保护措施，对服务人员在服务期间的人身安全负责。</w:t>
      </w:r>
    </w:p>
    <w:p>
      <w:pPr>
        <w:widowControl/>
        <w:shd w:val="clear" w:color="auto" w:fill="FFFFFF"/>
        <w:snapToGrid w:val="0"/>
        <w:spacing w:line="420" w:lineRule="atLeast"/>
        <w:ind w:left="170"/>
        <w:jc w:val="left"/>
        <w:rPr>
          <w:rFonts w:hint="eastAsia" w:ascii="楷体_GB2312" w:eastAsia="楷体_GB2312" w:cs="宋体"/>
          <w:kern w:val="0"/>
          <w:sz w:val="24"/>
        </w:rPr>
      </w:pPr>
      <w:r>
        <w:rPr>
          <w:rFonts w:hint="eastAsia" w:ascii="楷体_GB2312" w:eastAsia="楷体_GB2312" w:cs="宋体"/>
          <w:kern w:val="0"/>
          <w:sz w:val="24"/>
        </w:rPr>
        <w:t>10.依法与服务人员签订劳动合同，缴纳社会保险。</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第十三条</w:t>
      </w:r>
      <w:r>
        <w:rPr>
          <w:rFonts w:ascii="宋体" w:hAnsi="宋体" w:eastAsia="楷体_GB2312" w:cs="宋体"/>
          <w:kern w:val="0"/>
          <w:sz w:val="24"/>
        </w:rPr>
        <w:t>  </w:t>
      </w:r>
      <w:r>
        <w:rPr>
          <w:rFonts w:hint="eastAsia" w:ascii="楷体_GB2312" w:eastAsia="楷体_GB2312" w:cs="宋体"/>
          <w:kern w:val="0"/>
          <w:sz w:val="24"/>
        </w:rPr>
        <w:t>根据甲方的授权，在物业管理服务中授予乙方以下权利：</w:t>
      </w:r>
    </w:p>
    <w:p>
      <w:pPr>
        <w:widowControl/>
        <w:shd w:val="clear" w:color="auto" w:fill="FFFFFF"/>
        <w:snapToGrid w:val="0"/>
        <w:spacing w:line="420" w:lineRule="atLeast"/>
        <w:ind w:firstLine="240" w:firstLineChars="100"/>
        <w:jc w:val="left"/>
        <w:rPr>
          <w:rFonts w:hint="eastAsia" w:ascii="宋体" w:cs="宋体"/>
          <w:kern w:val="0"/>
          <w:sz w:val="24"/>
        </w:rPr>
      </w:pPr>
      <w:r>
        <w:rPr>
          <w:rFonts w:ascii="楷体_GB2312" w:eastAsia="楷体_GB2312" w:cs="宋体"/>
          <w:kern w:val="0"/>
          <w:sz w:val="24"/>
        </w:rPr>
        <w:t>1.</w:t>
      </w:r>
      <w:r>
        <w:rPr>
          <w:rFonts w:hint="eastAsia" w:ascii="楷体_GB2312" w:eastAsia="楷体_GB2312" w:cs="宋体"/>
          <w:kern w:val="0"/>
          <w:sz w:val="24"/>
        </w:rPr>
        <w:t>制定必要的规章制度，并以有效方式督促甲方使用人遵守；</w:t>
      </w:r>
    </w:p>
    <w:p>
      <w:pPr>
        <w:widowControl/>
        <w:shd w:val="clear" w:color="auto" w:fill="FFFFFF"/>
        <w:snapToGrid w:val="0"/>
        <w:spacing w:line="420" w:lineRule="atLeast"/>
        <w:ind w:firstLine="240" w:firstLineChars="100"/>
        <w:jc w:val="left"/>
        <w:rPr>
          <w:rFonts w:hint="eastAsia" w:ascii="宋体" w:cs="宋体"/>
          <w:kern w:val="0"/>
          <w:sz w:val="24"/>
        </w:rPr>
      </w:pPr>
      <w:r>
        <w:rPr>
          <w:rFonts w:ascii="楷体_GB2312" w:eastAsia="楷体_GB2312" w:cs="宋体"/>
          <w:kern w:val="0"/>
          <w:sz w:val="24"/>
        </w:rPr>
        <w:t>2.</w:t>
      </w:r>
      <w:r>
        <w:rPr>
          <w:rFonts w:hint="eastAsia" w:ascii="楷体_GB2312" w:eastAsia="楷体_GB2312" w:cs="宋体"/>
          <w:kern w:val="0"/>
          <w:sz w:val="24"/>
        </w:rPr>
        <w:t>采取规劝等措施制止甲方使用人违反公众管理制度的行为；</w:t>
      </w:r>
    </w:p>
    <w:p>
      <w:pPr>
        <w:widowControl/>
        <w:shd w:val="clear" w:color="auto" w:fill="FFFFFF"/>
        <w:snapToGrid w:val="0"/>
        <w:spacing w:line="420" w:lineRule="atLeast"/>
        <w:ind w:firstLine="240" w:firstLineChars="100"/>
        <w:jc w:val="left"/>
        <w:rPr>
          <w:rFonts w:hint="eastAsia" w:ascii="宋体" w:cs="宋体"/>
          <w:kern w:val="0"/>
          <w:sz w:val="24"/>
        </w:rPr>
      </w:pPr>
      <w:r>
        <w:rPr>
          <w:rFonts w:ascii="楷体_GB2312" w:eastAsia="楷体_GB2312" w:cs="宋体"/>
          <w:kern w:val="0"/>
          <w:sz w:val="24"/>
        </w:rPr>
        <w:t>3.</w:t>
      </w:r>
      <w:r>
        <w:rPr>
          <w:rFonts w:hint="eastAsia" w:ascii="楷体_GB2312" w:eastAsia="楷体_GB2312" w:cs="宋体"/>
          <w:kern w:val="0"/>
          <w:sz w:val="24"/>
        </w:rPr>
        <w:t>在物业管理区域内公布违约的甲方使用人的姓名及其违约情节；</w:t>
      </w:r>
    </w:p>
    <w:p>
      <w:pPr>
        <w:pStyle w:val="6"/>
        <w:rPr>
          <w:rFonts w:ascii="Arial" w:hAnsi="Arial"/>
          <w:kern w:val="0"/>
          <w:sz w:val="28"/>
          <w:szCs w:val="28"/>
        </w:rPr>
      </w:pPr>
      <w:r>
        <w:rPr>
          <w:rFonts w:hint="eastAsia"/>
          <w:kern w:val="0"/>
          <w:sz w:val="28"/>
          <w:szCs w:val="28"/>
        </w:rPr>
        <w:t>第六章</w:t>
      </w:r>
      <w:r>
        <w:rPr>
          <w:kern w:val="0"/>
          <w:sz w:val="28"/>
          <w:szCs w:val="28"/>
        </w:rPr>
        <w:t> </w:t>
      </w:r>
      <w:r>
        <w:rPr>
          <w:rFonts w:hint="eastAsia"/>
          <w:kern w:val="0"/>
          <w:sz w:val="28"/>
          <w:szCs w:val="28"/>
        </w:rPr>
        <w:t>物业管理用房</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第十四条</w:t>
      </w:r>
      <w:r>
        <w:rPr>
          <w:rFonts w:ascii="宋体" w:cs="宋体"/>
          <w:b/>
          <w:bCs/>
          <w:kern w:val="0"/>
          <w:sz w:val="24"/>
        </w:rPr>
        <w:t>  </w:t>
      </w:r>
      <w:r>
        <w:rPr>
          <w:rFonts w:hint="eastAsia" w:ascii="楷体_GB2312" w:eastAsia="楷体_GB2312" w:cs="宋体"/>
          <w:kern w:val="0"/>
          <w:sz w:val="24"/>
        </w:rPr>
        <w:t>物业管理用房面积总共</w:t>
      </w:r>
      <w:r>
        <w:rPr>
          <w:rFonts w:ascii="楷体_GB2312" w:eastAsia="楷体_GB2312" w:cs="宋体"/>
          <w:kern w:val="0"/>
          <w:sz w:val="24"/>
          <w:u w:val="single"/>
        </w:rPr>
        <w:t>20</w:t>
      </w:r>
      <w:r>
        <w:rPr>
          <w:rFonts w:hint="eastAsia" w:ascii="楷体_GB2312" w:eastAsia="楷体_GB2312" w:cs="宋体"/>
          <w:kern w:val="0"/>
          <w:sz w:val="24"/>
        </w:rPr>
        <w:t>平米。其中物业管理用房包含办公室、接待室等；其用房应位于本物业管理区域内。</w:t>
      </w:r>
    </w:p>
    <w:p>
      <w:pPr>
        <w:pStyle w:val="6"/>
        <w:ind w:firstLine="3373" w:firstLineChars="1200"/>
        <w:jc w:val="both"/>
        <w:rPr>
          <w:rFonts w:ascii="Arial" w:hAnsi="Arial"/>
          <w:kern w:val="0"/>
          <w:sz w:val="28"/>
          <w:szCs w:val="28"/>
        </w:rPr>
      </w:pPr>
      <w:r>
        <w:rPr>
          <w:rFonts w:hint="eastAsia"/>
          <w:kern w:val="0"/>
          <w:sz w:val="28"/>
          <w:szCs w:val="28"/>
        </w:rPr>
        <w:t>第七章</w:t>
      </w:r>
      <w:r>
        <w:rPr>
          <w:kern w:val="0"/>
          <w:sz w:val="28"/>
          <w:szCs w:val="28"/>
        </w:rPr>
        <w:t>  </w:t>
      </w:r>
      <w:r>
        <w:rPr>
          <w:rFonts w:hint="eastAsia"/>
          <w:kern w:val="0"/>
          <w:sz w:val="28"/>
          <w:szCs w:val="28"/>
        </w:rPr>
        <w:t>违约责任</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第十五条</w:t>
      </w:r>
      <w:r>
        <w:rPr>
          <w:rFonts w:hint="eastAsia" w:ascii="楷体_GB2312" w:eastAsia="楷体_GB2312" w:cs="宋体"/>
          <w:kern w:val="0"/>
          <w:sz w:val="24"/>
        </w:rPr>
        <w:t>乙方的管理服务达不到本合同第二条、第三条的约定，未能完成约定的服务内容未达到约定的服务质量，甲方有权要求乙方限期整改，逾期未整改的，甲方有权终止合同；</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第十六条</w:t>
      </w:r>
      <w:r>
        <w:rPr>
          <w:rFonts w:hint="eastAsia" w:ascii="楷体_GB2312" w:eastAsia="楷体_GB2312" w:cs="宋体"/>
          <w:kern w:val="0"/>
          <w:sz w:val="24"/>
        </w:rPr>
        <w:t>甲方违反本合同第七条的约定，未能按时足额交纳物业服务费用（物业服务资金）的，超过</w:t>
      </w:r>
      <w:r>
        <w:rPr>
          <w:rFonts w:ascii="楷体_GB2312" w:eastAsia="楷体_GB2312" w:cs="宋体"/>
          <w:kern w:val="0"/>
          <w:sz w:val="24"/>
        </w:rPr>
        <w:t>15</w:t>
      </w:r>
      <w:r>
        <w:rPr>
          <w:rFonts w:hint="eastAsia" w:ascii="楷体_GB2312" w:eastAsia="楷体_GB2312" w:cs="宋体"/>
          <w:kern w:val="0"/>
          <w:sz w:val="24"/>
        </w:rPr>
        <w:t>日的，每日应按物业管理年费总额</w:t>
      </w:r>
      <w:r>
        <w:rPr>
          <w:rFonts w:ascii="楷体_GB2312" w:eastAsia="楷体_GB2312" w:cs="宋体"/>
          <w:kern w:val="0"/>
          <w:sz w:val="24"/>
        </w:rPr>
        <w:t>5</w:t>
      </w:r>
      <w:r>
        <w:rPr>
          <w:rFonts w:hint="eastAsia" w:ascii="楷体_GB2312" w:eastAsia="楷体_GB2312" w:cs="宋体"/>
          <w:kern w:val="0"/>
          <w:sz w:val="24"/>
        </w:rPr>
        <w:t>‰的标准向乙方支付违约金。拖欠费用一个月以上，乙方可停止向违约方提供物业服务并提起诉讼，拖欠费用三个月以上，经乙方书面催收，在限定的时间内仍不缴纳约定物业费的，乙方有权解除合同，并要求甲方支付未付合同款。</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第十七条</w:t>
      </w:r>
      <w:r>
        <w:rPr>
          <w:rFonts w:hint="eastAsia" w:ascii="楷体_GB2312" w:eastAsia="楷体_GB2312" w:cs="宋体"/>
          <w:kern w:val="0"/>
          <w:sz w:val="24"/>
        </w:rPr>
        <w:t>任何一方无正当理由提前解除本合同的，应向对方支付违约金￥</w:t>
      </w:r>
      <w:r>
        <w:rPr>
          <w:rFonts w:hint="eastAsia" w:ascii="楷体_GB2312" w:eastAsia="楷体_GB2312" w:cs="宋体"/>
          <w:kern w:val="0"/>
          <w:sz w:val="24"/>
          <w:u w:val="single"/>
        </w:rPr>
        <w:t>2</w:t>
      </w:r>
      <w:r>
        <w:rPr>
          <w:rFonts w:ascii="楷体_GB2312" w:eastAsia="楷体_GB2312" w:cs="宋体"/>
          <w:kern w:val="0"/>
          <w:sz w:val="24"/>
          <w:u w:val="single"/>
        </w:rPr>
        <w:t>0000</w:t>
      </w:r>
      <w:r>
        <w:rPr>
          <w:rFonts w:hint="eastAsia" w:ascii="楷体_GB2312" w:eastAsia="楷体_GB2312" w:cs="宋体"/>
          <w:kern w:val="0"/>
          <w:sz w:val="24"/>
          <w:u w:val="single"/>
        </w:rPr>
        <w:t>元</w:t>
      </w:r>
      <w:r>
        <w:rPr>
          <w:rFonts w:hint="eastAsia" w:ascii="楷体_GB2312" w:eastAsia="楷体_GB2312" w:cs="宋体"/>
          <w:kern w:val="0"/>
          <w:sz w:val="24"/>
        </w:rPr>
        <w:t>；由于解除合同造成的经济损失超过违约金的，还应给予赔偿。</w:t>
      </w: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b/>
          <w:bCs/>
          <w:kern w:val="0"/>
          <w:sz w:val="24"/>
        </w:rPr>
        <w:t>第十八条</w:t>
      </w:r>
      <w:r>
        <w:rPr>
          <w:rFonts w:ascii="宋体" w:hAnsi="宋体" w:eastAsia="楷体_GB2312" w:cs="宋体"/>
          <w:kern w:val="0"/>
          <w:sz w:val="24"/>
        </w:rPr>
        <w:t>  </w:t>
      </w:r>
      <w:r>
        <w:rPr>
          <w:rFonts w:hint="eastAsia" w:ascii="楷体_GB2312" w:eastAsia="楷体_GB2312" w:cs="宋体"/>
          <w:kern w:val="0"/>
          <w:sz w:val="24"/>
        </w:rPr>
        <w:t>以下条件下所致的损害，可构成对乙方的免责事由</w:t>
      </w:r>
      <w:r>
        <w:rPr>
          <w:rFonts w:hint="eastAsia" w:ascii="楷体_GB2312" w:eastAsia="楷体_GB2312" w:cs="宋体"/>
          <w:b/>
          <w:bCs/>
          <w:kern w:val="0"/>
          <w:sz w:val="24"/>
        </w:rPr>
        <w:t>：</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1.</w:t>
      </w:r>
      <w:r>
        <w:rPr>
          <w:rFonts w:hint="eastAsia" w:ascii="楷体_GB2312" w:eastAsia="楷体_GB2312" w:cs="宋体"/>
          <w:kern w:val="0"/>
          <w:sz w:val="24"/>
        </w:rPr>
        <w:t>因不可抗力导致物业管理服务中断的；</w:t>
      </w:r>
    </w:p>
    <w:p>
      <w:pPr>
        <w:widowControl/>
        <w:shd w:val="clear" w:color="auto" w:fill="FFFFFF"/>
        <w:snapToGrid w:val="0"/>
        <w:spacing w:line="420" w:lineRule="atLeast"/>
        <w:jc w:val="left"/>
        <w:rPr>
          <w:rFonts w:hint="eastAsia" w:ascii="楷体_GB2312" w:eastAsia="楷体_GB2312" w:cs="宋体"/>
          <w:kern w:val="0"/>
          <w:sz w:val="24"/>
        </w:rPr>
      </w:pPr>
      <w:r>
        <w:rPr>
          <w:rFonts w:ascii="楷体_GB2312" w:eastAsia="楷体_GB2312" w:cs="宋体"/>
          <w:kern w:val="0"/>
          <w:sz w:val="24"/>
        </w:rPr>
        <w:t>2.</w:t>
      </w:r>
      <w:r>
        <w:rPr>
          <w:rFonts w:hint="eastAsia" w:ascii="楷体_GB2312" w:eastAsia="楷体_GB2312" w:cs="宋体"/>
          <w:kern w:val="0"/>
          <w:sz w:val="24"/>
        </w:rPr>
        <w:t>乙方已履行本合同约定义务，但因物业本身固有瑕疵造成损失的；</w:t>
      </w:r>
    </w:p>
    <w:p>
      <w:pPr>
        <w:widowControl/>
        <w:shd w:val="clear" w:color="auto" w:fill="FFFFFF"/>
        <w:snapToGrid w:val="0"/>
        <w:spacing w:line="420" w:lineRule="atLeast"/>
        <w:jc w:val="left"/>
        <w:rPr>
          <w:rFonts w:hint="eastAsia" w:ascii="楷体_GB2312" w:eastAsia="楷体_GB2312" w:cs="宋体"/>
          <w:kern w:val="0"/>
          <w:sz w:val="24"/>
        </w:rPr>
      </w:pPr>
      <w:r>
        <w:rPr>
          <w:rFonts w:ascii="楷体_GB2312" w:eastAsia="楷体_GB2312" w:cs="宋体"/>
          <w:kern w:val="0"/>
          <w:sz w:val="24"/>
        </w:rPr>
        <w:t>3.</w:t>
      </w:r>
      <w:r>
        <w:rPr>
          <w:rFonts w:hint="eastAsia" w:ascii="楷体_GB2312" w:eastAsia="楷体_GB2312" w:cs="宋体"/>
          <w:kern w:val="0"/>
          <w:sz w:val="24"/>
        </w:rPr>
        <w:t>为维护公共利益在不可预见情况下，如发生煤气泄露、漏电、火灾、暖气管、水管破裂救助人命协助公安机关执行任务等突发事件，乙方因采取紧急避险措施造成损失的；</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4.</w:t>
      </w:r>
      <w:r>
        <w:rPr>
          <w:rFonts w:hint="eastAsia" w:ascii="楷体_GB2312" w:eastAsia="楷体_GB2312" w:cs="宋体"/>
          <w:kern w:val="0"/>
          <w:sz w:val="24"/>
        </w:rPr>
        <w:t>因非乙方责任出现供水、供电、供气、供热、通讯、有线电视及其他共用设施设备运行障碍造成损失的；</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5.</w:t>
      </w:r>
      <w:r>
        <w:rPr>
          <w:rFonts w:hint="eastAsia" w:ascii="楷体_GB2312" w:eastAsia="楷体_GB2312" w:cs="宋体"/>
          <w:kern w:val="0"/>
          <w:sz w:val="24"/>
        </w:rPr>
        <w:t>非乙方原因造成设施、设备损坏而导致机关单位工作人员及他人的人身、财产损失的；</w:t>
      </w:r>
    </w:p>
    <w:p>
      <w:pPr>
        <w:widowControl/>
        <w:shd w:val="clear" w:color="auto" w:fill="FFFFFF"/>
        <w:snapToGrid w:val="0"/>
        <w:spacing w:line="420" w:lineRule="atLeast"/>
        <w:jc w:val="left"/>
        <w:rPr>
          <w:rFonts w:hint="eastAsia" w:ascii="宋体" w:cs="宋体"/>
          <w:kern w:val="0"/>
          <w:sz w:val="24"/>
        </w:rPr>
      </w:pPr>
      <w:r>
        <w:rPr>
          <w:rFonts w:ascii="楷体_GB2312" w:eastAsia="楷体_GB2312" w:cs="宋体"/>
          <w:kern w:val="0"/>
          <w:sz w:val="24"/>
        </w:rPr>
        <w:t>6.</w:t>
      </w:r>
      <w:r>
        <w:rPr>
          <w:rFonts w:hint="eastAsia" w:ascii="楷体_GB2312" w:eastAsia="楷体_GB2312" w:cs="宋体"/>
          <w:kern w:val="0"/>
          <w:sz w:val="24"/>
        </w:rPr>
        <w:t>甲方使用人互相之间发生纠纷，乙方已根据职责积极进行了劝阻和制止，仍出现导致人身、精神、财产损失的。</w:t>
      </w:r>
    </w:p>
    <w:p>
      <w:pPr>
        <w:widowControl/>
        <w:shd w:val="clear" w:color="auto" w:fill="FFFFFF"/>
        <w:snapToGrid w:val="0"/>
        <w:spacing w:line="520" w:lineRule="exact"/>
        <w:jc w:val="left"/>
        <w:rPr>
          <w:rFonts w:hint="eastAsia" w:ascii="宋体" w:cs="宋体"/>
          <w:kern w:val="0"/>
          <w:sz w:val="24"/>
        </w:rPr>
      </w:pPr>
      <w:r>
        <w:rPr>
          <w:rFonts w:ascii="楷体_GB2312" w:eastAsia="楷体_GB2312" w:cs="宋体"/>
          <w:kern w:val="0"/>
          <w:sz w:val="24"/>
        </w:rPr>
        <w:t>7</w:t>
      </w:r>
      <w:r>
        <w:rPr>
          <w:rFonts w:hint="eastAsia" w:ascii="楷体_GB2312" w:eastAsia="楷体_GB2312" w:cs="宋体"/>
          <w:kern w:val="0"/>
          <w:sz w:val="24"/>
        </w:rPr>
        <w:t>、乙方在严格按本合同约定的管理内容及标准规定的先前下，仍发生偷盗、伤害、损害、意外损耗的；</w:t>
      </w:r>
    </w:p>
    <w:p>
      <w:pPr>
        <w:pStyle w:val="6"/>
        <w:ind w:firstLine="3654" w:firstLineChars="1300"/>
        <w:jc w:val="both"/>
        <w:rPr>
          <w:rFonts w:ascii="Arial" w:hAnsi="Arial"/>
          <w:kern w:val="0"/>
          <w:sz w:val="28"/>
          <w:szCs w:val="28"/>
        </w:rPr>
      </w:pPr>
      <w:r>
        <w:rPr>
          <w:rFonts w:hint="eastAsia"/>
          <w:kern w:val="0"/>
          <w:sz w:val="28"/>
          <w:szCs w:val="28"/>
        </w:rPr>
        <w:t>第八章</w:t>
      </w:r>
      <w:r>
        <w:rPr>
          <w:kern w:val="0"/>
          <w:sz w:val="28"/>
          <w:szCs w:val="28"/>
        </w:rPr>
        <w:t>  </w:t>
      </w:r>
      <w:r>
        <w:rPr>
          <w:rFonts w:hint="eastAsia"/>
          <w:kern w:val="0"/>
          <w:sz w:val="28"/>
          <w:szCs w:val="28"/>
        </w:rPr>
        <w:t>其他事项</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第十九条</w:t>
      </w:r>
      <w:r>
        <w:rPr>
          <w:rFonts w:ascii="宋体" w:cs="宋体"/>
          <w:kern w:val="0"/>
          <w:sz w:val="24"/>
        </w:rPr>
        <w:t>  </w:t>
      </w:r>
      <w:r>
        <w:rPr>
          <w:rFonts w:hint="eastAsia" w:ascii="楷体_GB2312" w:eastAsia="楷体_GB2312" w:cs="宋体"/>
          <w:kern w:val="0"/>
          <w:sz w:val="24"/>
        </w:rPr>
        <w:t>本合同的效力及于本物业管理区域的甲方所有使用人。</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第二十条</w:t>
      </w:r>
      <w:r>
        <w:rPr>
          <w:rFonts w:ascii="宋体" w:hAnsi="宋体" w:eastAsia="楷体_GB2312" w:cs="宋体"/>
          <w:kern w:val="0"/>
          <w:sz w:val="24"/>
        </w:rPr>
        <w:t>  </w:t>
      </w:r>
      <w:r>
        <w:rPr>
          <w:rFonts w:hint="eastAsia" w:ascii="楷体_GB2312" w:eastAsia="楷体_GB2312" w:cs="宋体"/>
          <w:kern w:val="0"/>
          <w:sz w:val="24"/>
        </w:rPr>
        <w:t>本合同签署时，乙方应向甲方提供企业营业执照副本复印件（加盖公章）、企业法定代表人身份证明等相关材料，甲方应当告知其本单位所属的所有使用人已聘请乙方作为本物业管理区域的物业管理企业。</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w:t>
      </w:r>
      <w:r>
        <w:rPr>
          <w:rFonts w:ascii="楷体_GB2312" w:eastAsia="楷体_GB2312" w:cs="宋体"/>
          <w:b/>
          <w:bCs/>
          <w:kern w:val="0"/>
          <w:sz w:val="24"/>
        </w:rPr>
        <w:t>二十</w:t>
      </w:r>
      <w:r>
        <w:rPr>
          <w:rFonts w:hint="eastAsia" w:ascii="楷体_GB2312" w:eastAsia="楷体_GB2312" w:cs="宋体"/>
          <w:b/>
          <w:bCs/>
          <w:kern w:val="0"/>
          <w:sz w:val="24"/>
        </w:rPr>
        <w:t>一条</w:t>
      </w:r>
      <w:r>
        <w:rPr>
          <w:rFonts w:ascii="宋体" w:hAnsi="宋体" w:eastAsia="楷体_GB2312" w:cs="宋体"/>
          <w:kern w:val="0"/>
          <w:sz w:val="24"/>
        </w:rPr>
        <w:t>  </w:t>
      </w:r>
      <w:r>
        <w:rPr>
          <w:rFonts w:hint="eastAsia" w:ascii="楷体_GB2312" w:eastAsia="楷体_GB2312" w:cs="宋体"/>
          <w:kern w:val="0"/>
          <w:sz w:val="24"/>
        </w:rPr>
        <w:t>如根据本合同的需要，甲乙双方可以签订补充合同，补充合同为本合同不可分割的组成部分，与本合同具有同等的法律效力。</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第二十二条</w:t>
      </w:r>
      <w:r>
        <w:rPr>
          <w:rFonts w:ascii="宋体" w:hAnsi="宋体" w:eastAsia="楷体_GB2312" w:cs="宋体"/>
          <w:b/>
          <w:bCs/>
          <w:kern w:val="0"/>
          <w:sz w:val="24"/>
        </w:rPr>
        <w:t>  </w:t>
      </w:r>
      <w:r>
        <w:rPr>
          <w:rFonts w:hint="eastAsia" w:ascii="楷体_GB2312" w:eastAsia="楷体_GB2312" w:cs="宋体"/>
          <w:kern w:val="0"/>
          <w:sz w:val="24"/>
        </w:rPr>
        <w:t>本合同中的未尽事宜，双方协商解决或可以签订补充协议，补充协议与本合同存在冲突的，以补充协议为准。</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第二十三条</w:t>
      </w:r>
      <w:r>
        <w:rPr>
          <w:rFonts w:ascii="宋体" w:hAnsi="宋体" w:eastAsia="楷体_GB2312" w:cs="宋体"/>
          <w:kern w:val="0"/>
          <w:sz w:val="24"/>
        </w:rPr>
        <w:t>  </w:t>
      </w:r>
      <w:r>
        <w:rPr>
          <w:rFonts w:hint="eastAsia" w:ascii="楷体_GB2312" w:eastAsia="楷体_GB2312" w:cs="宋体"/>
          <w:kern w:val="0"/>
          <w:sz w:val="24"/>
        </w:rPr>
        <w:t>本合同在履行中发生的争议，由双方协商解决，协商不成，双方均可选择向合同履行地的人民法院起诉。</w:t>
      </w: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b/>
          <w:bCs/>
          <w:kern w:val="0"/>
          <w:sz w:val="24"/>
        </w:rPr>
        <w:t>第二十四条</w:t>
      </w:r>
      <w:r>
        <w:rPr>
          <w:rFonts w:ascii="宋体" w:hAnsi="宋体" w:eastAsia="楷体_GB2312" w:cs="宋体"/>
          <w:kern w:val="0"/>
          <w:sz w:val="24"/>
        </w:rPr>
        <w:t>  </w:t>
      </w:r>
      <w:r>
        <w:rPr>
          <w:rFonts w:hint="eastAsia" w:ascii="楷体_GB2312" w:eastAsia="楷体_GB2312" w:cs="宋体"/>
          <w:kern w:val="0"/>
          <w:sz w:val="24"/>
        </w:rPr>
        <w:t>本合同一式</w:t>
      </w:r>
      <w:r>
        <w:rPr>
          <w:rFonts w:hint="eastAsia" w:ascii="楷体_GB2312" w:eastAsia="楷体_GB2312" w:cs="宋体"/>
          <w:kern w:val="0"/>
          <w:sz w:val="24"/>
          <w:u w:val="single"/>
        </w:rPr>
        <w:t>伍</w:t>
      </w:r>
      <w:r>
        <w:rPr>
          <w:rFonts w:hint="eastAsia" w:ascii="楷体_GB2312" w:eastAsia="楷体_GB2312" w:cs="宋体"/>
          <w:kern w:val="0"/>
          <w:sz w:val="24"/>
        </w:rPr>
        <w:t>份，甲方持有</w:t>
      </w:r>
      <w:r>
        <w:rPr>
          <w:rFonts w:hint="eastAsia" w:ascii="楷体_GB2312" w:eastAsia="楷体_GB2312" w:cs="宋体"/>
          <w:kern w:val="0"/>
          <w:sz w:val="24"/>
          <w:u w:val="single"/>
        </w:rPr>
        <w:t>贰</w:t>
      </w:r>
      <w:r>
        <w:rPr>
          <w:rFonts w:hint="eastAsia" w:ascii="楷体_GB2312" w:eastAsia="楷体_GB2312" w:cs="宋体"/>
          <w:kern w:val="0"/>
          <w:sz w:val="24"/>
        </w:rPr>
        <w:t>份，乙方持有</w:t>
      </w:r>
      <w:r>
        <w:rPr>
          <w:rFonts w:hint="eastAsia" w:ascii="楷体_GB2312" w:eastAsia="楷体_GB2312" w:cs="宋体"/>
          <w:kern w:val="0"/>
          <w:sz w:val="24"/>
          <w:u w:val="single"/>
        </w:rPr>
        <w:t>叁</w:t>
      </w:r>
      <w:r>
        <w:rPr>
          <w:rFonts w:hint="eastAsia" w:ascii="楷体_GB2312" w:eastAsia="楷体_GB2312" w:cs="宋体"/>
          <w:kern w:val="0"/>
          <w:sz w:val="24"/>
        </w:rPr>
        <w:t>份（含备案所有）本合同自双方签字盖章之日起生效。</w:t>
      </w:r>
    </w:p>
    <w:p>
      <w:pPr>
        <w:widowControl/>
        <w:shd w:val="clear" w:color="auto" w:fill="FFFFFF"/>
        <w:snapToGrid w:val="0"/>
        <w:spacing w:line="420" w:lineRule="atLeast"/>
        <w:ind w:left="210" w:firstLine="350"/>
        <w:jc w:val="left"/>
        <w:textAlignment w:val="center"/>
        <w:rPr>
          <w:rFonts w:hint="eastAsia" w:ascii="宋体" w:cs="宋体"/>
          <w:kern w:val="0"/>
          <w:sz w:val="24"/>
        </w:rPr>
      </w:pPr>
      <w:r>
        <w:rPr>
          <w:rFonts w:ascii="楷体_GB2312" w:eastAsia="楷体_GB2312"/>
          <w:kern w:val="0"/>
          <w:sz w:val="24"/>
        </w:rPr>
        <w:t> </w:t>
      </w:r>
    </w:p>
    <w:p>
      <w:pPr>
        <w:widowControl/>
        <w:shd w:val="clear" w:color="auto" w:fill="FFFFFF"/>
        <w:snapToGrid w:val="0"/>
        <w:spacing w:line="420" w:lineRule="atLeast"/>
        <w:ind w:firstLine="240" w:firstLineChars="100"/>
        <w:jc w:val="left"/>
        <w:textAlignment w:val="center"/>
        <w:rPr>
          <w:rFonts w:hint="eastAsia" w:ascii="楷体_GB2312" w:eastAsia="楷体_GB2312" w:cs="宋体"/>
          <w:kern w:val="0"/>
          <w:sz w:val="24"/>
        </w:rPr>
      </w:pPr>
    </w:p>
    <w:p>
      <w:pPr>
        <w:widowControl/>
        <w:shd w:val="clear" w:color="auto" w:fill="FFFFFF"/>
        <w:snapToGrid w:val="0"/>
        <w:spacing w:line="420" w:lineRule="atLeast"/>
        <w:jc w:val="left"/>
        <w:textAlignment w:val="center"/>
        <w:rPr>
          <w:rFonts w:hint="eastAsia" w:ascii="楷体_GB2312" w:eastAsia="楷体_GB2312" w:cs="宋体"/>
          <w:kern w:val="0"/>
          <w:sz w:val="24"/>
        </w:rPr>
      </w:pPr>
    </w:p>
    <w:p>
      <w:pPr>
        <w:widowControl/>
        <w:shd w:val="clear" w:color="auto" w:fill="FFFFFF"/>
        <w:snapToGrid w:val="0"/>
        <w:spacing w:line="420" w:lineRule="atLeast"/>
        <w:jc w:val="left"/>
        <w:textAlignment w:val="center"/>
        <w:rPr>
          <w:rFonts w:hint="eastAsia" w:ascii="宋体" w:cs="宋体"/>
          <w:kern w:val="0"/>
          <w:sz w:val="24"/>
        </w:rPr>
      </w:pPr>
      <w:r>
        <w:rPr>
          <w:rFonts w:hint="eastAsia" w:ascii="楷体_GB2312" w:eastAsia="楷体_GB2312" w:cs="宋体"/>
          <w:kern w:val="0"/>
          <w:sz w:val="24"/>
        </w:rPr>
        <w:t>甲方（盖章）：</w:t>
      </w:r>
      <w:r>
        <w:rPr>
          <w:rFonts w:ascii="宋体" w:hAnsi="宋体" w:eastAsia="楷体_GB2312" w:cs="宋体"/>
          <w:kern w:val="0"/>
          <w:sz w:val="24"/>
        </w:rPr>
        <w:t>         </w:t>
      </w:r>
      <w:r>
        <w:rPr>
          <w:rFonts w:hint="eastAsia" w:ascii="宋体" w:hAnsi="宋体" w:eastAsia="楷体_GB2312" w:cs="宋体"/>
          <w:kern w:val="0"/>
          <w:sz w:val="24"/>
        </w:rPr>
        <w:t xml:space="preserve">                      </w:t>
      </w:r>
      <w:r>
        <w:rPr>
          <w:rFonts w:hint="eastAsia" w:ascii="楷体_GB2312" w:eastAsia="楷体_GB2312" w:cs="宋体"/>
          <w:kern w:val="0"/>
          <w:sz w:val="24"/>
        </w:rPr>
        <w:t>乙方（盖章）：</w:t>
      </w:r>
    </w:p>
    <w:p>
      <w:pPr>
        <w:widowControl/>
        <w:shd w:val="clear" w:color="auto" w:fill="FFFFFF"/>
        <w:snapToGrid w:val="0"/>
        <w:spacing w:line="420" w:lineRule="atLeast"/>
        <w:ind w:firstLine="240"/>
        <w:jc w:val="left"/>
        <w:rPr>
          <w:rFonts w:hint="eastAsia" w:ascii="宋体" w:cs="宋体"/>
          <w:kern w:val="0"/>
          <w:sz w:val="24"/>
        </w:rPr>
      </w:pPr>
      <w:r>
        <w:rPr>
          <w:rFonts w:ascii="楷体_GB2312" w:eastAsia="楷体_GB2312"/>
          <w:kern w:val="0"/>
          <w:sz w:val="24"/>
        </w:rPr>
        <w:t> </w:t>
      </w:r>
    </w:p>
    <w:p>
      <w:pPr>
        <w:widowControl/>
        <w:shd w:val="clear" w:color="auto" w:fill="FFFFFF"/>
        <w:snapToGrid w:val="0"/>
        <w:spacing w:line="420" w:lineRule="atLeast"/>
        <w:ind w:firstLine="240"/>
        <w:jc w:val="left"/>
        <w:rPr>
          <w:rFonts w:hint="eastAsia" w:ascii="楷体_GB2312" w:eastAsia="楷体_GB2312"/>
          <w:kern w:val="0"/>
          <w:sz w:val="24"/>
        </w:rPr>
      </w:pPr>
      <w:r>
        <w:rPr>
          <w:rFonts w:ascii="楷体_GB2312" w:eastAsia="楷体_GB2312"/>
          <w:kern w:val="0"/>
          <w:sz w:val="24"/>
        </w:rPr>
        <w:t> </w:t>
      </w:r>
    </w:p>
    <w:p>
      <w:pPr>
        <w:widowControl/>
        <w:shd w:val="clear" w:color="auto" w:fill="FFFFFF"/>
        <w:snapToGrid w:val="0"/>
        <w:spacing w:line="420" w:lineRule="atLeast"/>
        <w:ind w:firstLine="240"/>
        <w:jc w:val="left"/>
        <w:rPr>
          <w:rFonts w:hint="eastAsia" w:ascii="楷体_GB2312" w:eastAsia="楷体_GB2312" w:cs="宋体"/>
          <w:kern w:val="0"/>
          <w:sz w:val="24"/>
        </w:rPr>
      </w:pPr>
    </w:p>
    <w:p>
      <w:pPr>
        <w:widowControl/>
        <w:shd w:val="clear" w:color="auto" w:fill="FFFFFF"/>
        <w:snapToGrid w:val="0"/>
        <w:spacing w:line="420" w:lineRule="atLeast"/>
        <w:jc w:val="left"/>
        <w:rPr>
          <w:rFonts w:hint="eastAsia" w:ascii="宋体" w:cs="宋体"/>
          <w:kern w:val="0"/>
          <w:sz w:val="24"/>
        </w:rPr>
      </w:pPr>
      <w:r>
        <w:rPr>
          <w:rFonts w:hint="eastAsia" w:ascii="楷体_GB2312" w:eastAsia="楷体_GB2312" w:cs="宋体"/>
          <w:kern w:val="0"/>
          <w:sz w:val="24"/>
        </w:rPr>
        <w:t>法定代表人</w:t>
      </w:r>
      <w:r>
        <w:rPr>
          <w:rFonts w:ascii="楷体_GB2312" w:eastAsia="楷体_GB2312" w:cs="宋体"/>
          <w:kern w:val="0"/>
          <w:sz w:val="24"/>
        </w:rPr>
        <w:t>/</w:t>
      </w:r>
      <w:r>
        <w:rPr>
          <w:rFonts w:hint="eastAsia" w:ascii="楷体_GB2312" w:eastAsia="楷体_GB2312" w:cs="宋体"/>
          <w:kern w:val="0"/>
          <w:sz w:val="24"/>
        </w:rPr>
        <w:t>法定授权人</w:t>
      </w:r>
      <w:r>
        <w:rPr>
          <w:rFonts w:ascii="宋体" w:hAnsi="宋体" w:eastAsia="楷体_GB2312" w:cs="宋体"/>
          <w:kern w:val="0"/>
          <w:sz w:val="24"/>
        </w:rPr>
        <w:t>     </w:t>
      </w:r>
      <w:r>
        <w:rPr>
          <w:rFonts w:hint="eastAsia" w:ascii="宋体" w:hAnsi="宋体" w:eastAsia="楷体_GB2312" w:cs="宋体"/>
          <w:kern w:val="0"/>
          <w:sz w:val="24"/>
        </w:rPr>
        <w:t xml:space="preserve">                 </w:t>
      </w:r>
      <w:r>
        <w:rPr>
          <w:rFonts w:ascii="宋体" w:hAnsi="宋体" w:eastAsia="楷体_GB2312" w:cs="宋体"/>
          <w:kern w:val="0"/>
          <w:sz w:val="24"/>
        </w:rPr>
        <w:t> </w:t>
      </w:r>
      <w:r>
        <w:rPr>
          <w:rFonts w:hint="eastAsia" w:ascii="楷体_GB2312" w:eastAsia="楷体_GB2312" w:cs="宋体"/>
          <w:kern w:val="0"/>
          <w:sz w:val="24"/>
        </w:rPr>
        <w:t>法定代表人</w:t>
      </w:r>
      <w:r>
        <w:rPr>
          <w:rFonts w:ascii="楷体_GB2312" w:eastAsia="楷体_GB2312" w:cs="宋体"/>
          <w:kern w:val="0"/>
          <w:sz w:val="24"/>
        </w:rPr>
        <w:t>/</w:t>
      </w:r>
      <w:r>
        <w:rPr>
          <w:rFonts w:hint="eastAsia" w:ascii="楷体_GB2312" w:eastAsia="楷体_GB2312" w:cs="宋体"/>
          <w:kern w:val="0"/>
          <w:sz w:val="24"/>
        </w:rPr>
        <w:t>法定授权人</w:t>
      </w:r>
    </w:p>
    <w:p>
      <w:pPr>
        <w:widowControl/>
        <w:shd w:val="clear" w:color="auto" w:fill="FFFFFF"/>
        <w:snapToGrid w:val="0"/>
        <w:spacing w:line="420" w:lineRule="atLeast"/>
        <w:jc w:val="left"/>
        <w:rPr>
          <w:rFonts w:hint="eastAsia" w:ascii="宋体" w:cs="宋体"/>
          <w:kern w:val="0"/>
          <w:sz w:val="24"/>
        </w:rPr>
      </w:pPr>
      <w:r>
        <w:rPr>
          <w:rFonts w:ascii="楷体_GB2312" w:eastAsia="楷体_GB2312"/>
          <w:kern w:val="0"/>
          <w:sz w:val="24"/>
        </w:rPr>
        <w:t> </w:t>
      </w:r>
    </w:p>
    <w:p>
      <w:pPr>
        <w:widowControl/>
        <w:shd w:val="clear" w:color="auto" w:fill="FFFFFF"/>
        <w:snapToGrid w:val="0"/>
        <w:spacing w:line="420" w:lineRule="atLeast"/>
        <w:ind w:firstLine="240" w:firstLineChars="100"/>
        <w:jc w:val="left"/>
        <w:rPr>
          <w:rFonts w:hint="eastAsia" w:ascii="楷体_GB2312" w:eastAsia="楷体_GB2312" w:cs="宋体"/>
          <w:kern w:val="0"/>
          <w:sz w:val="24"/>
        </w:rPr>
      </w:pPr>
    </w:p>
    <w:p>
      <w:pPr>
        <w:widowControl/>
        <w:shd w:val="clear" w:color="auto" w:fill="FFFFFF"/>
        <w:snapToGrid w:val="0"/>
        <w:spacing w:line="420" w:lineRule="atLeast"/>
        <w:ind w:firstLine="240" w:firstLineChars="100"/>
        <w:jc w:val="left"/>
        <w:rPr>
          <w:rFonts w:hint="eastAsia" w:ascii="楷体_GB2312" w:eastAsia="楷体_GB2312" w:cs="宋体"/>
          <w:kern w:val="0"/>
          <w:sz w:val="24"/>
        </w:rPr>
      </w:pPr>
    </w:p>
    <w:p>
      <w:pPr>
        <w:widowControl/>
        <w:shd w:val="clear" w:color="auto" w:fill="FFFFFF"/>
        <w:snapToGrid w:val="0"/>
        <w:spacing w:line="420" w:lineRule="atLeast"/>
        <w:ind w:firstLine="240" w:firstLineChars="100"/>
        <w:jc w:val="left"/>
        <w:rPr>
          <w:rFonts w:hint="eastAsia" w:ascii="宋体" w:cs="宋体"/>
          <w:kern w:val="0"/>
          <w:sz w:val="24"/>
        </w:rPr>
      </w:pPr>
      <w:r>
        <w:rPr>
          <w:rFonts w:hint="eastAsia" w:ascii="楷体_GB2312" w:eastAsia="楷体_GB2312" w:cs="宋体"/>
          <w:kern w:val="0"/>
          <w:sz w:val="24"/>
        </w:rPr>
        <w:t xml:space="preserve">签约日期：   </w:t>
      </w:r>
      <w:r>
        <w:rPr>
          <w:rFonts w:ascii="宋体" w:hAnsi="宋体" w:eastAsia="楷体_GB2312" w:cs="宋体"/>
          <w:kern w:val="0"/>
          <w:sz w:val="24"/>
        </w:rPr>
        <w:t> </w:t>
      </w:r>
      <w:r>
        <w:rPr>
          <w:rFonts w:hint="eastAsia" w:ascii="楷体_GB2312" w:eastAsia="楷体_GB2312" w:cs="宋体"/>
          <w:kern w:val="0"/>
          <w:sz w:val="24"/>
        </w:rPr>
        <w:t>年</w:t>
      </w:r>
      <w:r>
        <w:rPr>
          <w:rFonts w:ascii="宋体" w:hAnsi="宋体" w:eastAsia="楷体_GB2312" w:cs="宋体"/>
          <w:kern w:val="0"/>
          <w:sz w:val="24"/>
        </w:rPr>
        <w:t> </w:t>
      </w:r>
      <w:r>
        <w:rPr>
          <w:rFonts w:hint="eastAsia" w:ascii="宋体" w:hAnsi="宋体" w:eastAsia="楷体_GB2312" w:cs="宋体"/>
          <w:kern w:val="0"/>
          <w:sz w:val="24"/>
        </w:rPr>
        <w:t xml:space="preserve"> </w:t>
      </w:r>
      <w:r>
        <w:rPr>
          <w:rFonts w:hint="eastAsia" w:ascii="楷体_GB2312" w:eastAsia="楷体_GB2312" w:cs="宋体"/>
          <w:kern w:val="0"/>
          <w:sz w:val="24"/>
        </w:rPr>
        <w:t>月  日                   签约日期：</w:t>
      </w:r>
      <w:r>
        <w:rPr>
          <w:rFonts w:ascii="宋体" w:hAnsi="宋体" w:eastAsia="楷体_GB2312" w:cs="宋体"/>
          <w:kern w:val="0"/>
          <w:sz w:val="24"/>
        </w:rPr>
        <w:t> </w:t>
      </w:r>
      <w:r>
        <w:rPr>
          <w:rFonts w:hint="eastAsia" w:ascii="宋体" w:hAnsi="宋体" w:eastAsia="楷体_GB2312" w:cs="宋体"/>
          <w:kern w:val="0"/>
          <w:sz w:val="24"/>
        </w:rPr>
        <w:t xml:space="preserve">   </w:t>
      </w:r>
      <w:r>
        <w:rPr>
          <w:rFonts w:hint="eastAsia" w:ascii="楷体_GB2312" w:eastAsia="楷体_GB2312" w:cs="宋体"/>
          <w:kern w:val="0"/>
          <w:sz w:val="24"/>
        </w:rPr>
        <w:t>年   月  日</w:t>
      </w:r>
    </w:p>
    <w:p>
      <w:pPr>
        <w:rPr>
          <w:rFonts w:hint="eastAsia"/>
          <w:sz w:val="24"/>
        </w:rPr>
      </w:pPr>
    </w:p>
    <w:sectPr>
      <w:footerReference r:id="rId5" w:type="default"/>
      <w:pgSz w:w="11906" w:h="16838"/>
      <w:pgMar w:top="1247" w:right="1418" w:bottom="1361" w:left="1418"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01"/>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0000000" w:usb3="00000000" w:csb0="2000019F" w:csb1="00000000"/>
  </w:font>
  <w:font w:name="华文行楷">
    <w:altName w:val="汉仪行楷简"/>
    <w:panose1 w:val="0201080004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微软雅黑">
    <w:altName w:val="黑体"/>
    <w:panose1 w:val="020B0503020204020204"/>
    <w:charset w:val="86"/>
    <w:family w:val="swiss"/>
    <w:pitch w:val="default"/>
    <w:sig w:usb0="00000000" w:usb1="00000000" w:usb2="00000016" w:usb3="00000000" w:csb0="0004001F" w:csb1="00000000"/>
  </w:font>
  <w:font w:name="楷体">
    <w:panose1 w:val="02010609060101010101"/>
    <w:charset w:val="86"/>
    <w:family w:val="auto"/>
    <w:pitch w:val="default"/>
    <w:sig w:usb0="800002BF" w:usb1="38CF7CFA" w:usb2="00000016" w:usb3="00000000" w:csb0="00040001" w:csb1="00000000"/>
  </w:font>
  <w:font w:name="方正书宋_GBK">
    <w:panose1 w:val="02000000000000000000"/>
    <w:charset w:val="86"/>
    <w:family w:val="auto"/>
    <w:pitch w:val="default"/>
    <w:sig w:usb0="00000001" w:usb1="08000000" w:usb2="00000000" w:usb3="00000000" w:csb0="00040000" w:csb1="00000000"/>
  </w:font>
  <w:font w:name="汉仪行楷简">
    <w:panose1 w:val="02010600000101010101"/>
    <w:charset w:val="86"/>
    <w:family w:val="auto"/>
    <w:pitch w:val="default"/>
    <w:sig w:usb0="00000001" w:usb1="080E0800" w:usb2="00000002" w:usb3="00000000" w:csb0="00040000" w:csb1="00000000"/>
  </w:font>
  <w:font w:name="DejaVu Sans">
    <w:panose1 w:val="020B0603030804020204"/>
    <w:charset w:val="00"/>
    <w:family w:val="auto"/>
    <w:pitch w:val="default"/>
    <w:sig w:usb0="E7006EFF" w:usb1="D200FDFF" w:usb2="0A246029" w:usb3="0400200C" w:csb0="600001FF" w:csb1="DFFF0000"/>
  </w:font>
  <w:font w:name="FreeSerif">
    <w:panose1 w:val="02020603050405020304"/>
    <w:charset w:val="00"/>
    <w:family w:val="auto"/>
    <w:pitch w:val="default"/>
    <w:sig w:usb0="E59FAFFF" w:usb1="C200FDFF" w:usb2="43501B29" w:usb3="04000043" w:csb0="600101FF" w:csb1="FFFF0000"/>
  </w:font>
  <w:font w:name="Nimbus Roman No9 L">
    <w:panose1 w:val="00000000000000000000"/>
    <w:charset w:val="00"/>
    <w:family w:val="auto"/>
    <w:pitch w:val="default"/>
    <w:sig w:usb0="00000000" w:usb1="00000000" w:usb2="00000000" w:usb3="00000000" w:csb0="00000000" w:csb1="00000000"/>
  </w:font>
  <w:font w:name="Droid Sans Fallback">
    <w:panose1 w:val="020B0502000000000001"/>
    <w:charset w:val="86"/>
    <w:family w:val="auto"/>
    <w:pitch w:val="default"/>
    <w:sig w:usb0="910002FF" w:usb1="2BDFFCFB" w:usb2="00000036" w:usb3="00000000" w:csb0="203F01FF"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left" w:pos="5042"/>
        <w:tab w:val="clear" w:pos="4153"/>
      </w:tabs>
      <w:rPr>
        <w:rFonts w:hint="eastAsia"/>
      </w:rPr>
    </w:pP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left" w:pos="5042"/>
        <w:tab w:val="clear" w:pos="4153"/>
      </w:tabs>
      <w:rPr>
        <w:rFonts w:hint="eastAsi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a:noFill/>
                      </a:ln>
                    </wps:spPr>
                    <wps:txbx>
                      <w:txbxContent>
                        <w:p>
                          <w:pPr>
                            <w:pStyle w:val="4"/>
                          </w:pPr>
                          <w:r>
                            <w:fldChar w:fldCharType="begin"/>
                          </w:r>
                          <w:r>
                            <w:instrText xml:space="preserve"> PAGE  \* MERGEFORMAT </w:instrText>
                          </w:r>
                          <w:r>
                            <w:fldChar w:fldCharType="separate"/>
                          </w:r>
                          <w:r>
                            <w:t>1</w:t>
                          </w:r>
                          <w:r>
                            <w:fldChar w:fldCharType="end"/>
                          </w:r>
                        </w:p>
                      </w:txbxContent>
                    </wps:txbx>
                    <wps:bodyPr wrap="none" lIns="0" tIns="0" rIns="0" bIns="0" upright="false">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WAAAAZHJzL1BL&#10;AQIUABQAAAAIAIdO4kDOqXm5zwAAAAUBAAAPAAAAAAAAAAEAIAAAADgAAABkcnMvZG93bnJldi54&#10;bWxQSwECFAAUAAAACACHTuJAwjkiC7QBAABSAwAADgAAAAAAAAABACAAAAA0AQAAZHJzL2Uyb0Rv&#10;Yy54bWxQSwUGAAAAAAYABgBZAQAAWgUAAAAA&#10;">
              <v:fill on="f" focussize="0,0"/>
              <v:stroke on="f"/>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lang w:eastAsia="zh-CN"/>
      </w:rPr>
      <w:tab/>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870486"/>
    <w:multiLevelType w:val="multilevel"/>
    <w:tmpl w:val="03870486"/>
    <w:lvl w:ilvl="0" w:tentative="0">
      <w:start w:val="1"/>
      <w:numFmt w:val="decimal"/>
      <w:lvlText w:val="%1、"/>
      <w:lvlJc w:val="left"/>
      <w:pPr>
        <w:tabs>
          <w:tab w:val="left" w:pos="0"/>
        </w:tabs>
        <w:ind w:left="840" w:hanging="420"/>
      </w:pPr>
      <w:rPr>
        <w:rFonts w:ascii="楷体_GB2312" w:hAnsi="Calibri" w:eastAsia="楷体_GB2312" w:cs="楷体_GB2312"/>
      </w:rPr>
    </w:lvl>
    <w:lvl w:ilvl="1" w:tentative="0">
      <w:start w:val="1"/>
      <w:numFmt w:val="decimal"/>
      <w:lvlText w:val="（%2）."/>
      <w:lvlJc w:val="left"/>
      <w:pPr>
        <w:tabs>
          <w:tab w:val="left" w:pos="0"/>
        </w:tabs>
        <w:ind w:left="1260" w:hanging="420"/>
      </w:pPr>
      <w:rPr>
        <w:rFonts w:hint="eastAsia"/>
        <w:b/>
      </w:rPr>
    </w:lvl>
    <w:lvl w:ilvl="2" w:tentative="0">
      <w:start w:val="3"/>
      <w:numFmt w:val="decimal"/>
      <w:lvlText w:val="（%3）"/>
      <w:lvlJc w:val="left"/>
      <w:pPr>
        <w:tabs>
          <w:tab w:val="left" w:pos="0"/>
        </w:tabs>
        <w:ind w:left="1980" w:hanging="720"/>
      </w:pPr>
      <w:rPr>
        <w:rFonts w:hint="default"/>
      </w:rPr>
    </w:lvl>
    <w:lvl w:ilvl="3" w:tentative="0">
      <w:start w:val="1"/>
      <w:numFmt w:val="bullet"/>
      <w:lvlText w:val=""/>
      <w:lvlJc w:val="left"/>
      <w:pPr>
        <w:tabs>
          <w:tab w:val="left" w:pos="0"/>
        </w:tabs>
        <w:ind w:left="2100" w:hanging="420"/>
      </w:pPr>
      <w:rPr>
        <w:rFonts w:hint="default" w:ascii="Wingdings" w:hAnsi="Wingdings"/>
      </w:rPr>
    </w:lvl>
    <w:lvl w:ilvl="4" w:tentative="0">
      <w:start w:val="1"/>
      <w:numFmt w:val="bullet"/>
      <w:lvlText w:val=""/>
      <w:lvlJc w:val="left"/>
      <w:pPr>
        <w:tabs>
          <w:tab w:val="left" w:pos="0"/>
        </w:tabs>
        <w:ind w:left="2520" w:hanging="420"/>
      </w:pPr>
      <w:rPr>
        <w:rFonts w:hint="default" w:ascii="Wingdings" w:hAnsi="Wingdings"/>
      </w:rPr>
    </w:lvl>
    <w:lvl w:ilvl="5" w:tentative="0">
      <w:start w:val="1"/>
      <w:numFmt w:val="bullet"/>
      <w:lvlText w:val=""/>
      <w:lvlJc w:val="left"/>
      <w:pPr>
        <w:tabs>
          <w:tab w:val="left" w:pos="0"/>
        </w:tabs>
        <w:ind w:left="2940" w:hanging="420"/>
      </w:pPr>
      <w:rPr>
        <w:rFonts w:hint="default" w:ascii="Wingdings" w:hAnsi="Wingdings"/>
      </w:rPr>
    </w:lvl>
    <w:lvl w:ilvl="6" w:tentative="0">
      <w:start w:val="1"/>
      <w:numFmt w:val="bullet"/>
      <w:lvlText w:val=""/>
      <w:lvlJc w:val="left"/>
      <w:pPr>
        <w:tabs>
          <w:tab w:val="left" w:pos="0"/>
        </w:tabs>
        <w:ind w:left="3360" w:hanging="420"/>
      </w:pPr>
      <w:rPr>
        <w:rFonts w:hint="default" w:ascii="Wingdings" w:hAnsi="Wingdings"/>
      </w:rPr>
    </w:lvl>
    <w:lvl w:ilvl="7" w:tentative="0">
      <w:start w:val="1"/>
      <w:numFmt w:val="bullet"/>
      <w:lvlText w:val=""/>
      <w:lvlJc w:val="left"/>
      <w:pPr>
        <w:tabs>
          <w:tab w:val="left" w:pos="0"/>
        </w:tabs>
        <w:ind w:left="3780" w:hanging="420"/>
      </w:pPr>
      <w:rPr>
        <w:rFonts w:hint="default" w:ascii="Wingdings" w:hAnsi="Wingdings"/>
      </w:rPr>
    </w:lvl>
    <w:lvl w:ilvl="8" w:tentative="0">
      <w:start w:val="1"/>
      <w:numFmt w:val="bullet"/>
      <w:lvlText w:val=""/>
      <w:lvlJc w:val="left"/>
      <w:pPr>
        <w:tabs>
          <w:tab w:val="left" w:pos="0"/>
        </w:tabs>
        <w:ind w:left="4200" w:hanging="420"/>
      </w:pPr>
      <w:rPr>
        <w:rFonts w:hint="default" w:ascii="Wingdings" w:hAnsi="Wingdings"/>
      </w:rPr>
    </w:lvl>
  </w:abstractNum>
  <w:abstractNum w:abstractNumId="1">
    <w:nsid w:val="311941D5"/>
    <w:multiLevelType w:val="multilevel"/>
    <w:tmpl w:val="311941D5"/>
    <w:lvl w:ilvl="0" w:tentative="0">
      <w:start w:val="1"/>
      <w:numFmt w:val="decimal"/>
      <w:lvlText w:val="%1、"/>
      <w:lvlJc w:val="left"/>
      <w:pPr>
        <w:tabs>
          <w:tab w:val="left" w:pos="0"/>
        </w:tabs>
        <w:ind w:left="420" w:hanging="420"/>
      </w:pPr>
      <w:rPr>
        <w:rFonts w:ascii="楷体_GB2312" w:hAnsi="Calibri" w:eastAsia="楷体_GB2312" w:cs="楷体_GB2312"/>
      </w:rPr>
    </w:lvl>
    <w:lvl w:ilvl="1" w:tentative="0">
      <w:start w:val="1"/>
      <w:numFmt w:val="lowerLetter"/>
      <w:lvlText w:val="%2)"/>
      <w:lvlJc w:val="left"/>
      <w:pPr>
        <w:tabs>
          <w:tab w:val="left" w:pos="0"/>
        </w:tabs>
        <w:ind w:left="840" w:hanging="420"/>
      </w:pPr>
    </w:lvl>
    <w:lvl w:ilvl="2" w:tentative="0">
      <w:start w:val="1"/>
      <w:numFmt w:val="lowerRoman"/>
      <w:lvlText w:val="%3."/>
      <w:lvlJc w:val="right"/>
      <w:pPr>
        <w:tabs>
          <w:tab w:val="left" w:pos="0"/>
        </w:tabs>
        <w:ind w:left="1260" w:hanging="420"/>
      </w:pPr>
    </w:lvl>
    <w:lvl w:ilvl="3" w:tentative="0">
      <w:start w:val="1"/>
      <w:numFmt w:val="decimal"/>
      <w:lvlText w:val="%4."/>
      <w:lvlJc w:val="left"/>
      <w:pPr>
        <w:tabs>
          <w:tab w:val="left" w:pos="0"/>
        </w:tabs>
        <w:ind w:left="1680" w:hanging="420"/>
      </w:pPr>
    </w:lvl>
    <w:lvl w:ilvl="4" w:tentative="0">
      <w:start w:val="1"/>
      <w:numFmt w:val="lowerLetter"/>
      <w:lvlText w:val="%5)"/>
      <w:lvlJc w:val="left"/>
      <w:pPr>
        <w:tabs>
          <w:tab w:val="left" w:pos="0"/>
        </w:tabs>
        <w:ind w:left="2100" w:hanging="420"/>
      </w:pPr>
    </w:lvl>
    <w:lvl w:ilvl="5" w:tentative="0">
      <w:start w:val="1"/>
      <w:numFmt w:val="lowerRoman"/>
      <w:lvlText w:val="%6."/>
      <w:lvlJc w:val="right"/>
      <w:pPr>
        <w:tabs>
          <w:tab w:val="left" w:pos="0"/>
        </w:tabs>
        <w:ind w:left="2520" w:hanging="420"/>
      </w:pPr>
    </w:lvl>
    <w:lvl w:ilvl="6" w:tentative="0">
      <w:start w:val="1"/>
      <w:numFmt w:val="decimal"/>
      <w:lvlText w:val="%7."/>
      <w:lvlJc w:val="left"/>
      <w:pPr>
        <w:tabs>
          <w:tab w:val="left" w:pos="0"/>
        </w:tabs>
        <w:ind w:left="2940" w:hanging="420"/>
      </w:pPr>
    </w:lvl>
    <w:lvl w:ilvl="7" w:tentative="0">
      <w:start w:val="1"/>
      <w:numFmt w:val="lowerLetter"/>
      <w:lvlText w:val="%8)"/>
      <w:lvlJc w:val="left"/>
      <w:pPr>
        <w:tabs>
          <w:tab w:val="left" w:pos="0"/>
        </w:tabs>
        <w:ind w:left="3360" w:hanging="420"/>
      </w:pPr>
    </w:lvl>
    <w:lvl w:ilvl="8" w:tentative="0">
      <w:start w:val="1"/>
      <w:numFmt w:val="lowerRoman"/>
      <w:lvlText w:val="%9."/>
      <w:lvlJc w:val="right"/>
      <w:pPr>
        <w:tabs>
          <w:tab w:val="left" w:pos="0"/>
        </w:tabs>
        <w:ind w:left="3780" w:hanging="420"/>
      </w:pPr>
    </w:lvl>
  </w:abstractNum>
  <w:abstractNum w:abstractNumId="2">
    <w:nsid w:val="511433D8"/>
    <w:multiLevelType w:val="multilevel"/>
    <w:tmpl w:val="511433D8"/>
    <w:lvl w:ilvl="0" w:tentative="0">
      <w:start w:val="1"/>
      <w:numFmt w:val="decimal"/>
      <w:lvlText w:val="%1、"/>
      <w:lvlJc w:val="left"/>
      <w:pPr>
        <w:tabs>
          <w:tab w:val="left" w:pos="0"/>
        </w:tabs>
        <w:ind w:left="420" w:hanging="420"/>
      </w:pPr>
      <w:rPr>
        <w:rFonts w:ascii="楷体_GB2312" w:hAnsi="Calibri" w:eastAsia="楷体_GB2312" w:cs="楷体_GB2312"/>
      </w:rPr>
    </w:lvl>
    <w:lvl w:ilvl="1" w:tentative="0">
      <w:start w:val="1"/>
      <w:numFmt w:val="lowerLetter"/>
      <w:lvlText w:val="%2)"/>
      <w:lvlJc w:val="left"/>
      <w:pPr>
        <w:tabs>
          <w:tab w:val="left" w:pos="0"/>
        </w:tabs>
        <w:ind w:left="840" w:hanging="420"/>
      </w:pPr>
    </w:lvl>
    <w:lvl w:ilvl="2" w:tentative="0">
      <w:start w:val="1"/>
      <w:numFmt w:val="lowerRoman"/>
      <w:lvlText w:val="%3."/>
      <w:lvlJc w:val="right"/>
      <w:pPr>
        <w:tabs>
          <w:tab w:val="left" w:pos="0"/>
        </w:tabs>
        <w:ind w:left="1260" w:hanging="420"/>
      </w:pPr>
    </w:lvl>
    <w:lvl w:ilvl="3" w:tentative="0">
      <w:start w:val="1"/>
      <w:numFmt w:val="decimal"/>
      <w:lvlText w:val="%4."/>
      <w:lvlJc w:val="left"/>
      <w:pPr>
        <w:tabs>
          <w:tab w:val="left" w:pos="0"/>
        </w:tabs>
        <w:ind w:left="1680" w:hanging="420"/>
      </w:pPr>
    </w:lvl>
    <w:lvl w:ilvl="4" w:tentative="0">
      <w:start w:val="1"/>
      <w:numFmt w:val="lowerLetter"/>
      <w:lvlText w:val="%5)"/>
      <w:lvlJc w:val="left"/>
      <w:pPr>
        <w:tabs>
          <w:tab w:val="left" w:pos="0"/>
        </w:tabs>
        <w:ind w:left="2100" w:hanging="420"/>
      </w:pPr>
    </w:lvl>
    <w:lvl w:ilvl="5" w:tentative="0">
      <w:start w:val="1"/>
      <w:numFmt w:val="lowerRoman"/>
      <w:lvlText w:val="%6."/>
      <w:lvlJc w:val="right"/>
      <w:pPr>
        <w:tabs>
          <w:tab w:val="left" w:pos="0"/>
        </w:tabs>
        <w:ind w:left="2520" w:hanging="420"/>
      </w:pPr>
    </w:lvl>
    <w:lvl w:ilvl="6" w:tentative="0">
      <w:start w:val="1"/>
      <w:numFmt w:val="decimal"/>
      <w:lvlText w:val="%7."/>
      <w:lvlJc w:val="left"/>
      <w:pPr>
        <w:tabs>
          <w:tab w:val="left" w:pos="0"/>
        </w:tabs>
        <w:ind w:left="2940" w:hanging="420"/>
      </w:pPr>
    </w:lvl>
    <w:lvl w:ilvl="7" w:tentative="0">
      <w:start w:val="1"/>
      <w:numFmt w:val="lowerLetter"/>
      <w:lvlText w:val="%8)"/>
      <w:lvlJc w:val="left"/>
      <w:pPr>
        <w:tabs>
          <w:tab w:val="left" w:pos="0"/>
        </w:tabs>
        <w:ind w:left="3360" w:hanging="420"/>
      </w:pPr>
    </w:lvl>
    <w:lvl w:ilvl="8" w:tentative="0">
      <w:start w:val="1"/>
      <w:numFmt w:val="lowerRoman"/>
      <w:lvlText w:val="%9."/>
      <w:lvlJc w:val="right"/>
      <w:pPr>
        <w:tabs>
          <w:tab w:val="left" w:pos="0"/>
        </w:tabs>
        <w:ind w:left="3780"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2MjIwYzY2OThkZjFhNjdiOWJkMTg4MmZlNzNiYWUifQ=="/>
  </w:docVars>
  <w:rsids>
    <w:rsidRoot w:val="00A275B6"/>
    <w:rsid w:val="00002CC3"/>
    <w:rsid w:val="00047739"/>
    <w:rsid w:val="00081828"/>
    <w:rsid w:val="000E1489"/>
    <w:rsid w:val="002F4F50"/>
    <w:rsid w:val="00301C3B"/>
    <w:rsid w:val="00357116"/>
    <w:rsid w:val="003A7E25"/>
    <w:rsid w:val="005A5F63"/>
    <w:rsid w:val="005B6079"/>
    <w:rsid w:val="0075708D"/>
    <w:rsid w:val="00A275B6"/>
    <w:rsid w:val="00A34384"/>
    <w:rsid w:val="00B30205"/>
    <w:rsid w:val="00B47294"/>
    <w:rsid w:val="00C05DC5"/>
    <w:rsid w:val="00C85489"/>
    <w:rsid w:val="00DD3669"/>
    <w:rsid w:val="015773F0"/>
    <w:rsid w:val="01E36CA0"/>
    <w:rsid w:val="055B73CB"/>
    <w:rsid w:val="056661CC"/>
    <w:rsid w:val="082938B0"/>
    <w:rsid w:val="0E5F42FE"/>
    <w:rsid w:val="118A6128"/>
    <w:rsid w:val="131806AA"/>
    <w:rsid w:val="14E56D4F"/>
    <w:rsid w:val="14F16413"/>
    <w:rsid w:val="16A32A86"/>
    <w:rsid w:val="1AA8601B"/>
    <w:rsid w:val="1DF05A6E"/>
    <w:rsid w:val="1EBA757C"/>
    <w:rsid w:val="23035F0C"/>
    <w:rsid w:val="23AB6F9A"/>
    <w:rsid w:val="243C73F9"/>
    <w:rsid w:val="260B4520"/>
    <w:rsid w:val="275203B8"/>
    <w:rsid w:val="28CF2689"/>
    <w:rsid w:val="2CD25B81"/>
    <w:rsid w:val="2D734B81"/>
    <w:rsid w:val="2DDC61BF"/>
    <w:rsid w:val="314E473C"/>
    <w:rsid w:val="339D49C0"/>
    <w:rsid w:val="37BB1581"/>
    <w:rsid w:val="3A5E3F35"/>
    <w:rsid w:val="3A72308B"/>
    <w:rsid w:val="3C9F01F6"/>
    <w:rsid w:val="3FEA0D08"/>
    <w:rsid w:val="409B7A1C"/>
    <w:rsid w:val="42057B7B"/>
    <w:rsid w:val="46A10109"/>
    <w:rsid w:val="4C940335"/>
    <w:rsid w:val="4D3F36AE"/>
    <w:rsid w:val="4D946EBC"/>
    <w:rsid w:val="4DF94CA6"/>
    <w:rsid w:val="500C2ED7"/>
    <w:rsid w:val="527C002B"/>
    <w:rsid w:val="54A41F09"/>
    <w:rsid w:val="54C7751B"/>
    <w:rsid w:val="557373F9"/>
    <w:rsid w:val="56E73954"/>
    <w:rsid w:val="577A2335"/>
    <w:rsid w:val="5A7E59BD"/>
    <w:rsid w:val="5C53384A"/>
    <w:rsid w:val="5DF960E0"/>
    <w:rsid w:val="5EBB642C"/>
    <w:rsid w:val="65BB1A36"/>
    <w:rsid w:val="66036F1A"/>
    <w:rsid w:val="666C2F45"/>
    <w:rsid w:val="6BE74FAA"/>
    <w:rsid w:val="6E094A6F"/>
    <w:rsid w:val="6F424766"/>
    <w:rsid w:val="6FF23E04"/>
    <w:rsid w:val="74E875C0"/>
    <w:rsid w:val="79406268"/>
    <w:rsid w:val="7ADF6CDD"/>
    <w:rsid w:val="7C08418D"/>
    <w:rsid w:val="7C115803"/>
    <w:rsid w:val="7CF704A2"/>
    <w:rsid w:val="7F6FD062"/>
    <w:rsid w:val="7F971BA6"/>
    <w:rsid w:val="D3FB877C"/>
    <w:rsid w:val="FFF2435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2"/>
    <w:basedOn w:val="1"/>
    <w:next w:val="3"/>
    <w:qFormat/>
    <w:uiPriority w:val="0"/>
    <w:pPr>
      <w:keepNext/>
      <w:keepLines/>
      <w:spacing w:before="260" w:after="260" w:line="415" w:lineRule="auto"/>
      <w:outlineLvl w:val="1"/>
    </w:pPr>
    <w:rPr>
      <w:rFonts w:ascii="Arial" w:hAnsi="Arial" w:eastAsia="黑体"/>
      <w:b/>
      <w:sz w:val="32"/>
      <w:szCs w:val="20"/>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rPr>
      <w:szCs w:val="20"/>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Title"/>
    <w:basedOn w:val="1"/>
    <w:next w:val="1"/>
    <w:qFormat/>
    <w:uiPriority w:val="0"/>
    <w:pPr>
      <w:spacing w:before="240" w:after="60"/>
      <w:jc w:val="center"/>
      <w:outlineLvl w:val="0"/>
    </w:pPr>
    <w:rPr>
      <w:rFonts w:ascii="Cambria" w:hAnsi="Cambria"/>
      <w:b/>
      <w:bCs/>
      <w:sz w:val="32"/>
      <w:szCs w:val="32"/>
    </w:rPr>
  </w:style>
  <w:style w:type="paragraph" w:customStyle="1" w:styleId="9">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12</Pages>
  <Words>1111</Words>
  <Characters>6335</Characters>
  <Lines>52</Lines>
  <Paragraphs>14</Paragraphs>
  <TotalTime>116</TotalTime>
  <ScaleCrop>false</ScaleCrop>
  <LinksUpToDate>false</LinksUpToDate>
  <CharactersWithSpaces>7432</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2016-08-22T16:48:00Z</dcterms:created>
  <dc:creator>Administrator</dc:creator>
  <cp:lastModifiedBy>plx16402210115</cp:lastModifiedBy>
  <cp:lastPrinted>2022-08-25T00:25:00Z</cp:lastPrinted>
  <dcterms:modified xsi:type="dcterms:W3CDTF">2025-09-05T11:32:12Z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y fmtid="{D5CDD505-2E9C-101B-9397-08002B2CF9AE}" pid="3" name="ICV">
    <vt:lpwstr>E50537B2456B49288ADAE1161DADC272_13</vt:lpwstr>
  </property>
</Properties>
</file>