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方正小标宋简体" w:hAnsi="方正小标宋简体" w:eastAsia="方正小标宋简体" w:cs="宋体"/>
          <w:color w:val="000000"/>
          <w:sz w:val="44"/>
          <w:szCs w:val="44"/>
          <w:u w:val="single"/>
        </w:rPr>
      </w:pPr>
      <w:bookmarkStart w:id="7" w:name="_GoBack"/>
    </w:p>
    <w:bookmarkEnd w:id="7"/>
    <w:p>
      <w:pPr>
        <w:jc w:val="center"/>
        <w:rPr>
          <w:rFonts w:ascii="方正小标宋简体" w:hAnsi="方正小标宋简体" w:eastAsia="方正小标宋简体" w:cs="宋体"/>
          <w:color w:val="000000"/>
          <w:spacing w:val="-20"/>
          <w:sz w:val="72"/>
          <w:szCs w:val="44"/>
        </w:rPr>
      </w:pPr>
      <w:r>
        <w:rPr>
          <w:rFonts w:hint="eastAsia" w:ascii="方正小标宋简体" w:hAnsi="方正小标宋简体" w:eastAsia="方正小标宋简体" w:cs="宋体"/>
          <w:color w:val="000000"/>
          <w:spacing w:val="-20"/>
          <w:sz w:val="72"/>
          <w:szCs w:val="44"/>
          <w:lang w:eastAsia="zh-CN"/>
        </w:rPr>
        <w:t>固原市税务局</w:t>
      </w:r>
      <w:r>
        <w:rPr>
          <w:rFonts w:hint="eastAsia" w:ascii="方正小标宋简体" w:hAnsi="方正小标宋简体" w:eastAsia="方正小标宋简体" w:cs="宋体"/>
          <w:color w:val="000000"/>
          <w:spacing w:val="-20"/>
          <w:sz w:val="72"/>
          <w:szCs w:val="44"/>
        </w:rPr>
        <w:t>政府采购项目</w:t>
      </w:r>
    </w:p>
    <w:p>
      <w:pPr>
        <w:jc w:val="center"/>
      </w:pPr>
      <w:r>
        <w:rPr>
          <w:rFonts w:hint="eastAsia" w:ascii="方正小标宋简体" w:hAnsi="方正小标宋简体" w:eastAsia="方正小标宋简体" w:cs="宋体"/>
          <w:color w:val="000000"/>
          <w:sz w:val="72"/>
          <w:szCs w:val="44"/>
        </w:rPr>
        <w:t>采 购 需 求</w:t>
      </w:r>
    </w:p>
    <w:p>
      <w:pPr>
        <w:jc w:val="center"/>
        <w:rPr>
          <w:rFonts w:hint="eastAsia" w:ascii="方正小标宋简体" w:hAnsi="方正小标宋简体" w:eastAsia="方正小标宋简体"/>
          <w:color w:val="000000"/>
          <w:sz w:val="44"/>
          <w:szCs w:val="44"/>
          <w:lang w:eastAsia="zh-CN"/>
        </w:rPr>
      </w:pPr>
    </w:p>
    <w:p>
      <w:pPr>
        <w:pStyle w:val="5"/>
        <w:rPr>
          <w:rFonts w:hint="eastAsia" w:ascii="方正小标宋简体" w:hAnsi="方正小标宋简体" w:eastAsia="方正小标宋简体"/>
          <w:color w:val="000000"/>
          <w:sz w:val="44"/>
          <w:szCs w:val="44"/>
          <w:lang w:eastAsia="zh-CN"/>
        </w:rPr>
      </w:pPr>
    </w:p>
    <w:p>
      <w:pPr>
        <w:rPr>
          <w:rFonts w:hint="eastAsia" w:ascii="方正小标宋简体" w:hAnsi="方正小标宋简体" w:eastAsia="方正小标宋简体"/>
          <w:color w:val="000000"/>
          <w:sz w:val="44"/>
          <w:szCs w:val="44"/>
          <w:lang w:eastAsia="zh-CN"/>
        </w:rPr>
      </w:pPr>
    </w:p>
    <w:p>
      <w:pPr>
        <w:pStyle w:val="5"/>
        <w:rPr>
          <w:rFonts w:hint="eastAsia" w:ascii="方正小标宋简体" w:hAnsi="方正小标宋简体" w:eastAsia="方正小标宋简体"/>
          <w:color w:val="000000"/>
          <w:sz w:val="44"/>
          <w:szCs w:val="44"/>
          <w:lang w:eastAsia="zh-CN"/>
        </w:rPr>
      </w:pPr>
    </w:p>
    <w:p>
      <w:pPr>
        <w:rPr>
          <w:rFonts w:hint="eastAsia"/>
          <w:lang w:eastAsia="zh-CN"/>
        </w:rPr>
      </w:pPr>
    </w:p>
    <w:p>
      <w:pPr>
        <w:pageBreakBefore w:val="0"/>
        <w:widowControl w:val="0"/>
        <w:kinsoku/>
        <w:wordWrap/>
        <w:overflowPunct/>
        <w:topLinePunct w:val="0"/>
        <w:autoSpaceDE/>
        <w:autoSpaceDN/>
        <w:bidi w:val="0"/>
        <w:adjustRightInd/>
        <w:snapToGrid/>
        <w:spacing w:line="480" w:lineRule="auto"/>
        <w:ind w:left="1277" w:leftChars="608" w:firstLine="160" w:firstLineChars="50"/>
        <w:textAlignment w:val="auto"/>
        <w:rPr>
          <w:rFonts w:hint="eastAsia" w:ascii="方正小标宋简体" w:hAnsi="方正小标宋简体" w:eastAsia="方正小标宋简体"/>
          <w:color w:val="000000"/>
          <w:sz w:val="32"/>
          <w:szCs w:val="32"/>
          <w:u w:val="single"/>
          <w:lang w:val="en-US" w:eastAsia="zh-CN"/>
        </w:rPr>
      </w:pPr>
      <w:r>
        <w:rPr>
          <w:rFonts w:ascii="方正小标宋简体" w:hAnsi="方正小标宋简体" w:eastAsia="方正小标宋简体"/>
          <w:color w:val="000000"/>
          <w:sz w:val="32"/>
          <w:szCs w:val="32"/>
        </w:rPr>
        <w:t>项目名称</w:t>
      </w:r>
      <w:r>
        <w:rPr>
          <w:rFonts w:hint="eastAsia" w:ascii="方正小标宋简体" w:hAnsi="方正小标宋简体" w:eastAsia="方正小标宋简体"/>
          <w:color w:val="000000"/>
          <w:sz w:val="32"/>
          <w:szCs w:val="32"/>
        </w:rPr>
        <w:t>：</w:t>
      </w:r>
      <w:r>
        <w:rPr>
          <w:rFonts w:hint="eastAsia" w:ascii="方正小标宋简体" w:hAnsi="方正小标宋简体" w:eastAsia="方正小标宋简体"/>
          <w:color w:val="000000"/>
          <w:sz w:val="32"/>
          <w:szCs w:val="32"/>
          <w:u w:val="single"/>
          <w:lang w:val="en-US" w:eastAsia="zh-CN"/>
        </w:rPr>
        <w:t>固原税务2025年机房设施设备和网络</w:t>
      </w:r>
    </w:p>
    <w:p>
      <w:pPr>
        <w:pageBreakBefore w:val="0"/>
        <w:widowControl w:val="0"/>
        <w:kinsoku/>
        <w:wordWrap/>
        <w:overflowPunct/>
        <w:topLinePunct w:val="0"/>
        <w:autoSpaceDE/>
        <w:autoSpaceDN/>
        <w:bidi w:val="0"/>
        <w:adjustRightInd/>
        <w:snapToGrid/>
        <w:spacing w:line="480" w:lineRule="auto"/>
        <w:ind w:left="1277" w:leftChars="608" w:firstLine="1760" w:firstLineChars="550"/>
        <w:textAlignment w:val="auto"/>
        <w:rPr>
          <w:rFonts w:hint="default" w:ascii="方正小标宋简体" w:hAnsi="方正小标宋简体" w:eastAsia="方正小标宋简体"/>
          <w:color w:val="000000"/>
          <w:sz w:val="32"/>
          <w:szCs w:val="32"/>
          <w:u w:val="single"/>
          <w:lang w:val="en-US" w:eastAsia="zh-CN"/>
        </w:rPr>
      </w:pPr>
      <w:r>
        <w:rPr>
          <w:rFonts w:hint="eastAsia" w:ascii="方正小标宋简体" w:hAnsi="方正小标宋简体" w:eastAsia="方正小标宋简体"/>
          <w:color w:val="000000"/>
          <w:sz w:val="32"/>
          <w:szCs w:val="32"/>
          <w:u w:val="single"/>
          <w:lang w:val="en-US" w:eastAsia="zh-CN"/>
        </w:rPr>
        <w:t xml:space="preserve">线路更新及改造项目               </w:t>
      </w:r>
    </w:p>
    <w:p>
      <w:pPr>
        <w:pStyle w:val="5"/>
        <w:pageBreakBefore w:val="0"/>
        <w:widowControl w:val="0"/>
        <w:kinsoku/>
        <w:wordWrap/>
        <w:overflowPunct/>
        <w:topLinePunct w:val="0"/>
        <w:autoSpaceDE/>
        <w:autoSpaceDN/>
        <w:bidi w:val="0"/>
        <w:adjustRightInd/>
        <w:snapToGrid/>
        <w:spacing w:before="0" w:after="0" w:line="480" w:lineRule="auto"/>
        <w:ind w:firstLine="1440" w:firstLineChars="450"/>
        <w:textAlignment w:val="auto"/>
        <w:rPr>
          <w:rFonts w:ascii="方正小标宋简体" w:hAnsi="方正小标宋简体" w:eastAsia="方正小标宋简体" w:cs="Times New Roman"/>
          <w:b w:val="0"/>
          <w:bCs w:val="0"/>
          <w:color w:val="000000"/>
          <w:kern w:val="2"/>
          <w:sz w:val="32"/>
          <w:szCs w:val="32"/>
          <w:lang w:val="en-US" w:eastAsia="zh-CN" w:bidi="ar-SA"/>
        </w:rPr>
      </w:pPr>
      <w:r>
        <w:rPr>
          <w:rFonts w:hint="eastAsia" w:ascii="方正小标宋简体" w:hAnsi="方正小标宋简体" w:eastAsia="方正小标宋简体" w:cs="Times New Roman"/>
          <w:b w:val="0"/>
          <w:bCs w:val="0"/>
          <w:color w:val="000000"/>
          <w:kern w:val="2"/>
          <w:sz w:val="32"/>
          <w:szCs w:val="32"/>
          <w:lang w:val="en-US" w:eastAsia="zh-CN" w:bidi="ar-SA"/>
        </w:rPr>
        <w:t>采购单位：</w:t>
      </w:r>
      <w:r>
        <w:rPr>
          <w:rFonts w:hint="eastAsia" w:ascii="方正小标宋简体" w:hAnsi="方正小标宋简体" w:eastAsia="方正小标宋简体" w:cs="Times New Roman"/>
          <w:b w:val="0"/>
          <w:bCs w:val="0"/>
          <w:color w:val="000000"/>
          <w:kern w:val="2"/>
          <w:sz w:val="32"/>
          <w:szCs w:val="32"/>
          <w:u w:val="single"/>
          <w:lang w:val="en-US" w:eastAsia="zh-CN" w:bidi="ar-SA"/>
        </w:rPr>
        <w:t xml:space="preserve">    国家税务总局固原市税务局        </w:t>
      </w:r>
      <w:r>
        <w:rPr>
          <w:rFonts w:hint="eastAsia" w:ascii="方正小标宋简体" w:hAnsi="方正小标宋简体" w:eastAsia="方正小标宋简体" w:cs="Times New Roman"/>
          <w:b w:val="0"/>
          <w:bCs w:val="0"/>
          <w:color w:val="000000"/>
          <w:kern w:val="2"/>
          <w:sz w:val="32"/>
          <w:szCs w:val="32"/>
          <w:lang w:val="en-US" w:eastAsia="zh-CN" w:bidi="ar-SA"/>
        </w:rPr>
        <w:t xml:space="preserve">  </w:t>
      </w:r>
    </w:p>
    <w:p>
      <w:pPr>
        <w:pageBreakBefore w:val="0"/>
        <w:widowControl w:val="0"/>
        <w:kinsoku/>
        <w:wordWrap/>
        <w:overflowPunct/>
        <w:topLinePunct w:val="0"/>
        <w:autoSpaceDE/>
        <w:autoSpaceDN/>
        <w:bidi w:val="0"/>
        <w:adjustRightInd/>
        <w:snapToGrid/>
        <w:spacing w:line="480" w:lineRule="auto"/>
        <w:ind w:firstLine="1440" w:firstLineChars="450"/>
        <w:textAlignment w:val="auto"/>
        <w:rPr>
          <w:rFonts w:hint="eastAsia" w:ascii="方正小标宋简体" w:hAnsi="方正小标宋简体" w:eastAsia="方正小标宋简体"/>
          <w:color w:val="auto"/>
          <w:sz w:val="32"/>
          <w:szCs w:val="32"/>
          <w:u w:val="single"/>
        </w:rPr>
      </w:pPr>
      <w:r>
        <w:rPr>
          <w:rFonts w:hint="eastAsia" w:ascii="方正小标宋简体" w:hAnsi="方正小标宋简体" w:eastAsia="方正小标宋简体"/>
          <w:color w:val="auto"/>
          <w:sz w:val="32"/>
          <w:szCs w:val="32"/>
        </w:rPr>
        <w:t>编制单位：</w:t>
      </w:r>
      <w:r>
        <w:rPr>
          <w:rFonts w:hint="eastAsia" w:ascii="方正小标宋简体" w:hAnsi="方正小标宋简体" w:eastAsia="方正小标宋简体"/>
          <w:color w:val="auto"/>
          <w:sz w:val="32"/>
          <w:szCs w:val="32"/>
          <w:u w:val="single"/>
        </w:rPr>
        <w:t xml:space="preserve"> </w:t>
      </w:r>
      <w:r>
        <w:rPr>
          <w:rFonts w:hint="eastAsia" w:ascii="方正小标宋简体" w:hAnsi="方正小标宋简体" w:eastAsia="方正小标宋简体"/>
          <w:color w:val="auto"/>
          <w:sz w:val="32"/>
          <w:szCs w:val="32"/>
          <w:u w:val="single"/>
          <w:lang w:val="en-US" w:eastAsia="zh-CN"/>
        </w:rPr>
        <w:t xml:space="preserve">   </w:t>
      </w:r>
      <w:r>
        <w:rPr>
          <w:rFonts w:hint="eastAsia" w:ascii="方正小标宋简体" w:hAnsi="方正小标宋简体" w:eastAsia="方正小标宋简体" w:cs="Times New Roman"/>
          <w:b w:val="0"/>
          <w:bCs w:val="0"/>
          <w:color w:val="000000"/>
          <w:kern w:val="2"/>
          <w:sz w:val="32"/>
          <w:szCs w:val="32"/>
          <w:u w:val="single"/>
          <w:lang w:val="en-US" w:eastAsia="zh-CN" w:bidi="ar-SA"/>
        </w:rPr>
        <w:t xml:space="preserve">固原市税务局信息中心            </w:t>
      </w:r>
    </w:p>
    <w:p>
      <w:pPr>
        <w:pageBreakBefore w:val="0"/>
        <w:widowControl w:val="0"/>
        <w:kinsoku/>
        <w:wordWrap/>
        <w:overflowPunct/>
        <w:topLinePunct w:val="0"/>
        <w:autoSpaceDE/>
        <w:autoSpaceDN/>
        <w:bidi w:val="0"/>
        <w:adjustRightInd/>
        <w:snapToGrid/>
        <w:spacing w:line="480" w:lineRule="auto"/>
        <w:ind w:firstLine="1440" w:firstLineChars="450"/>
        <w:textAlignment w:val="auto"/>
        <w:rPr>
          <w:rFonts w:hint="default" w:ascii="方正小标宋简体" w:hAnsi="方正小标宋简体" w:eastAsia="方正小标宋简体"/>
          <w:color w:val="000000"/>
          <w:sz w:val="32"/>
          <w:szCs w:val="32"/>
          <w:u w:val="single"/>
          <w:lang w:val="en-US" w:eastAsia="zh-CN"/>
        </w:rPr>
      </w:pPr>
      <w:r>
        <w:rPr>
          <w:rFonts w:hint="eastAsia" w:ascii="方正小标宋简体" w:hAnsi="方正小标宋简体" w:eastAsia="方正小标宋简体"/>
          <w:color w:val="000000"/>
          <w:sz w:val="32"/>
          <w:szCs w:val="32"/>
        </w:rPr>
        <w:t>编制时间：</w:t>
      </w:r>
      <w:r>
        <w:rPr>
          <w:rFonts w:hint="eastAsia" w:ascii="方正小标宋简体" w:hAnsi="方正小标宋简体" w:eastAsia="方正小标宋简体"/>
          <w:color w:val="000000"/>
          <w:sz w:val="32"/>
          <w:szCs w:val="32"/>
          <w:u w:val="single"/>
        </w:rPr>
        <w:t xml:space="preserve"> </w:t>
      </w:r>
      <w:r>
        <w:rPr>
          <w:rFonts w:hint="eastAsia" w:ascii="方正小标宋简体" w:hAnsi="方正小标宋简体" w:eastAsia="方正小标宋简体"/>
          <w:color w:val="000000"/>
          <w:sz w:val="32"/>
          <w:szCs w:val="32"/>
          <w:u w:val="single"/>
          <w:lang w:val="en-US" w:eastAsia="zh-CN"/>
        </w:rPr>
        <w:t xml:space="preserve">     2025年7月8日              </w:t>
      </w:r>
    </w:p>
    <w:p>
      <w:pPr>
        <w:pageBreakBefore w:val="0"/>
        <w:widowControl w:val="0"/>
        <w:kinsoku/>
        <w:wordWrap/>
        <w:overflowPunct/>
        <w:topLinePunct w:val="0"/>
        <w:autoSpaceDE/>
        <w:autoSpaceDN/>
        <w:bidi w:val="0"/>
        <w:adjustRightInd/>
        <w:snapToGrid/>
        <w:spacing w:line="480" w:lineRule="auto"/>
        <w:ind w:firstLine="1440" w:firstLineChars="450"/>
        <w:textAlignment w:val="auto"/>
        <w:rPr>
          <w:rFonts w:hint="default" w:ascii="方正小标宋简体" w:hAnsi="方正小标宋简体" w:eastAsia="方正小标宋简体"/>
          <w:color w:val="000000"/>
          <w:sz w:val="32"/>
          <w:szCs w:val="32"/>
          <w:u w:val="single"/>
          <w:lang w:val="en-US" w:eastAsia="zh-CN"/>
        </w:rPr>
      </w:pPr>
      <w:r>
        <w:rPr>
          <w:rFonts w:hint="eastAsia" w:ascii="方正小标宋简体" w:hAnsi="方正小标宋简体" w:eastAsia="方正小标宋简体"/>
          <w:color w:val="000000"/>
          <w:sz w:val="32"/>
          <w:szCs w:val="32"/>
          <w:u w:val="none"/>
          <w:lang w:eastAsia="zh-CN"/>
        </w:rPr>
        <w:t>版</w:t>
      </w:r>
      <w:r>
        <w:rPr>
          <w:rFonts w:hint="eastAsia" w:ascii="方正小标宋简体" w:hAnsi="方正小标宋简体" w:eastAsia="方正小标宋简体"/>
          <w:color w:val="000000"/>
          <w:sz w:val="32"/>
          <w:szCs w:val="32"/>
          <w:u w:val="none"/>
          <w:lang w:val="en-US" w:eastAsia="zh-CN"/>
        </w:rPr>
        <w:t xml:space="preserve">    </w:t>
      </w:r>
      <w:r>
        <w:rPr>
          <w:rFonts w:hint="eastAsia" w:ascii="方正小标宋简体" w:hAnsi="方正小标宋简体" w:eastAsia="方正小标宋简体"/>
          <w:color w:val="000000"/>
          <w:sz w:val="32"/>
          <w:szCs w:val="32"/>
          <w:u w:val="none"/>
          <w:lang w:eastAsia="zh-CN"/>
        </w:rPr>
        <w:t>次：</w:t>
      </w:r>
      <w:r>
        <w:rPr>
          <w:rFonts w:hint="eastAsia" w:ascii="方正小标宋简体" w:hAnsi="方正小标宋简体" w:eastAsia="方正小标宋简体"/>
          <w:color w:val="000000"/>
          <w:sz w:val="32"/>
          <w:szCs w:val="32"/>
          <w:u w:val="single"/>
          <w:lang w:val="en-US" w:eastAsia="zh-CN"/>
        </w:rPr>
        <w:t xml:space="preserve">          </w:t>
      </w:r>
      <w:r>
        <w:rPr>
          <w:rFonts w:hint="eastAsia" w:ascii="方正小标宋简体" w:hAnsi="方正小标宋简体" w:eastAsia="方正小标宋简体" w:cs="Times New Roman"/>
          <w:b w:val="0"/>
          <w:bCs w:val="0"/>
          <w:color w:val="000000"/>
          <w:kern w:val="2"/>
          <w:sz w:val="32"/>
          <w:szCs w:val="32"/>
          <w:u w:val="single"/>
          <w:lang w:val="en-US" w:eastAsia="zh-CN" w:bidi="ar-SA"/>
        </w:rPr>
        <w:t xml:space="preserve">第一版 </w:t>
      </w:r>
      <w:r>
        <w:rPr>
          <w:rFonts w:hint="eastAsia" w:ascii="方正小标宋简体" w:hAnsi="方正小标宋简体" w:eastAsia="方正小标宋简体"/>
          <w:color w:val="000000"/>
          <w:sz w:val="32"/>
          <w:szCs w:val="32"/>
          <w:u w:val="single"/>
          <w:lang w:val="en-US" w:eastAsia="zh-CN"/>
        </w:rPr>
        <w:t xml:space="preserve">                 </w:t>
      </w:r>
    </w:p>
    <w:p>
      <w:pPr>
        <w:rPr>
          <w:rFonts w:ascii="方正小标宋简体" w:hAnsi="方正小标宋简体" w:eastAsia="方正小标宋简体"/>
          <w:color w:val="000000"/>
          <w:sz w:val="44"/>
          <w:szCs w:val="44"/>
        </w:rPr>
      </w:pPr>
    </w:p>
    <w:p>
      <w:pPr>
        <w:rPr>
          <w:rFonts w:ascii="方正小标宋简体" w:hAnsi="方正小标宋简体" w:eastAsia="方正小标宋简体"/>
          <w:color w:val="000000"/>
          <w:sz w:val="44"/>
          <w:szCs w:val="44"/>
        </w:rPr>
        <w:sectPr>
          <w:footerReference r:id="rId3" w:type="default"/>
          <w:pgSz w:w="11906" w:h="16838"/>
          <w:pgMar w:top="1440" w:right="1800" w:bottom="1440" w:left="1800" w:header="851" w:footer="992" w:gutter="0"/>
          <w:pgNumType w:start="1"/>
          <w:cols w:space="720" w:num="1"/>
          <w:docGrid w:type="lines" w:linePitch="312" w:charSpace="0"/>
        </w:sectPr>
      </w:pPr>
    </w:p>
    <w:p>
      <w:pPr>
        <w:jc w:val="center"/>
        <w:rPr>
          <w:rFonts w:ascii="方正小标宋简体" w:hAnsi="方正小标宋简体" w:eastAsia="方正小标宋简体"/>
          <w:color w:val="000000"/>
          <w:sz w:val="44"/>
          <w:szCs w:val="44"/>
        </w:rPr>
      </w:pPr>
      <w:r>
        <w:rPr>
          <w:rFonts w:hint="eastAsia" w:ascii="方正小标宋简体" w:hAnsi="方正小标宋简体" w:eastAsia="方正小标宋简体"/>
          <w:color w:val="000000"/>
          <w:sz w:val="44"/>
          <w:szCs w:val="44"/>
        </w:rPr>
        <w:t xml:space="preserve">编 制 </w:t>
      </w:r>
      <w:r>
        <w:rPr>
          <w:rFonts w:ascii="方正小标宋简体" w:hAnsi="方正小标宋简体" w:eastAsia="方正小标宋简体"/>
          <w:color w:val="000000"/>
          <w:sz w:val="44"/>
          <w:szCs w:val="44"/>
        </w:rPr>
        <w:t>说</w:t>
      </w:r>
      <w:r>
        <w:rPr>
          <w:rFonts w:hint="eastAsia" w:ascii="方正小标宋简体" w:hAnsi="方正小标宋简体" w:eastAsia="方正小标宋简体"/>
          <w:color w:val="000000"/>
          <w:sz w:val="44"/>
          <w:szCs w:val="44"/>
        </w:rPr>
        <w:t xml:space="preserve"> </w:t>
      </w:r>
      <w:r>
        <w:rPr>
          <w:rFonts w:ascii="方正小标宋简体" w:hAnsi="方正小标宋简体" w:eastAsia="方正小标宋简体"/>
          <w:color w:val="000000"/>
          <w:sz w:val="44"/>
          <w:szCs w:val="44"/>
        </w:rPr>
        <w:t>明</w:t>
      </w:r>
    </w:p>
    <w:p>
      <w:pPr>
        <w:spacing w:line="560" w:lineRule="exact"/>
        <w:ind w:firstLine="640" w:firstLineChars="200"/>
        <w:rPr>
          <w:rFonts w:ascii="仿宋" w:hAnsi="仿宋" w:eastAsia="仿宋"/>
          <w:color w:val="000000"/>
          <w:sz w:val="32"/>
          <w:szCs w:val="32"/>
        </w:rPr>
      </w:pPr>
    </w:p>
    <w:p>
      <w:pPr>
        <w:spacing w:line="560" w:lineRule="exact"/>
        <w:ind w:firstLine="640" w:firstLineChars="200"/>
        <w:rPr>
          <w:rFonts w:hint="eastAsia" w:ascii="仿宋_GB2312" w:hAnsi="仿宋" w:eastAsia="仿宋_GB2312" w:cs="Times New Roman"/>
          <w:color w:val="000000"/>
          <w:sz w:val="32"/>
          <w:szCs w:val="32"/>
          <w:lang w:eastAsia="zh-CN"/>
        </w:rPr>
      </w:pPr>
      <w:r>
        <w:rPr>
          <w:rFonts w:hint="eastAsia" w:ascii="仿宋_GB2312" w:hAnsi="仿宋" w:eastAsia="仿宋_GB2312" w:cs="Times New Roman"/>
          <w:color w:val="000000"/>
          <w:sz w:val="32"/>
          <w:szCs w:val="32"/>
          <w:lang w:eastAsia="zh-CN"/>
        </w:rPr>
        <w:t>一、政府采购货物、工程和服务项目采购需求调查和确定的书面记录可参考本模板编制。</w:t>
      </w:r>
    </w:p>
    <w:p>
      <w:pPr>
        <w:spacing w:line="560" w:lineRule="exact"/>
        <w:ind w:firstLine="640" w:firstLineChars="200"/>
        <w:rPr>
          <w:rFonts w:hint="eastAsia" w:ascii="仿宋_GB2312" w:hAnsi="仿宋" w:eastAsia="仿宋_GB2312" w:cs="Times New Roman"/>
          <w:color w:val="auto"/>
          <w:sz w:val="32"/>
          <w:szCs w:val="32"/>
          <w:lang w:eastAsia="zh-CN"/>
        </w:rPr>
      </w:pPr>
      <w:r>
        <w:rPr>
          <w:rFonts w:hint="eastAsia" w:ascii="仿宋_GB2312" w:hAnsi="仿宋" w:eastAsia="仿宋_GB2312" w:cs="Times New Roman"/>
          <w:color w:val="auto"/>
          <w:sz w:val="32"/>
          <w:szCs w:val="32"/>
          <w:lang w:eastAsia="zh-CN"/>
        </w:rPr>
        <w:t>二、采购单位可以自行组织编制采购需求，也可以委托采购代理机构或者其他第三方机构编制。委托采购代理机构或其他第三方机构编制的，应当签订委托代理协议，并在委托代理协议中明确各方的职责分工和权利义务关系，采购单位需履行对采购需求管理的主体责任，并对采购需求的合法性、合规性、合理性负责。</w:t>
      </w:r>
    </w:p>
    <w:p>
      <w:pPr>
        <w:spacing w:line="560" w:lineRule="exact"/>
        <w:ind w:firstLine="640" w:firstLineChars="200"/>
        <w:rPr>
          <w:rFonts w:hint="eastAsia" w:ascii="仿宋_GB2312" w:hAnsi="仿宋" w:eastAsia="仿宋_GB2312" w:cs="Times New Roman"/>
          <w:color w:val="000000"/>
          <w:sz w:val="32"/>
          <w:szCs w:val="32"/>
          <w:lang w:eastAsia="zh-CN"/>
        </w:rPr>
      </w:pPr>
      <w:r>
        <w:rPr>
          <w:rFonts w:hint="eastAsia" w:ascii="仿宋_GB2312" w:hAnsi="仿宋" w:eastAsia="仿宋_GB2312" w:cs="Times New Roman"/>
          <w:color w:val="000000"/>
          <w:sz w:val="32"/>
          <w:szCs w:val="32"/>
          <w:lang w:eastAsia="zh-CN"/>
        </w:rPr>
        <w:t>三、编制的采购需求应当符合宁夏区税务局《政府采购需求管理办法》要求及政府采购的相关规定。</w:t>
      </w:r>
    </w:p>
    <w:p>
      <w:pPr>
        <w:spacing w:line="560" w:lineRule="exact"/>
        <w:ind w:firstLine="640" w:firstLineChars="200"/>
        <w:rPr>
          <w:rFonts w:hint="eastAsia" w:ascii="仿宋_GB2312" w:hAnsi="仿宋" w:eastAsia="仿宋_GB2312" w:cs="Times New Roman"/>
          <w:color w:val="000000"/>
          <w:sz w:val="32"/>
          <w:szCs w:val="32"/>
          <w:lang w:eastAsia="zh-CN"/>
        </w:rPr>
      </w:pPr>
      <w:r>
        <w:rPr>
          <w:rFonts w:hint="eastAsia" w:ascii="仿宋_GB2312" w:hAnsi="仿宋" w:eastAsia="仿宋_GB2312" w:cs="Times New Roman"/>
          <w:color w:val="000000"/>
          <w:sz w:val="32"/>
          <w:szCs w:val="32"/>
          <w:lang w:eastAsia="zh-CN"/>
        </w:rPr>
        <w:t>四、斜体字部分属于提醒内容，编制时应删除。</w:t>
      </w:r>
    </w:p>
    <w:p>
      <w:pPr>
        <w:spacing w:line="560" w:lineRule="exact"/>
        <w:ind w:firstLine="640" w:firstLineChars="200"/>
        <w:rPr>
          <w:rFonts w:hint="eastAsia" w:ascii="仿宋_GB2312" w:hAnsi="仿宋" w:eastAsia="仿宋_GB2312" w:cs="Times New Roman"/>
          <w:color w:val="000000"/>
          <w:sz w:val="32"/>
          <w:szCs w:val="32"/>
          <w:lang w:eastAsia="zh-CN"/>
        </w:rPr>
      </w:pPr>
      <w:r>
        <w:rPr>
          <w:rFonts w:hint="eastAsia" w:ascii="仿宋_GB2312" w:hAnsi="仿宋" w:eastAsia="仿宋_GB2312" w:cs="Times New Roman"/>
          <w:color w:val="000000"/>
          <w:sz w:val="32"/>
          <w:szCs w:val="32"/>
          <w:lang w:eastAsia="zh-CN"/>
        </w:rPr>
        <w:t>五、对不适用的内容应删除，并调整相应序号。</w:t>
      </w:r>
    </w:p>
    <w:p>
      <w:pPr>
        <w:widowControl/>
        <w:adjustRightInd w:val="0"/>
        <w:snapToGrid w:val="0"/>
        <w:spacing w:line="240" w:lineRule="auto"/>
        <w:jc w:val="center"/>
        <w:rPr>
          <w:rFonts w:hint="eastAsia"/>
          <w:w w:val="78"/>
        </w:rPr>
      </w:pPr>
      <w:r>
        <w:rPr>
          <w:rFonts w:hint="eastAsia" w:ascii="仿宋_GB2312" w:hAnsi="仿宋" w:eastAsia="仿宋_GB2312" w:cs="Times New Roman"/>
          <w:color w:val="000000"/>
          <w:sz w:val="32"/>
          <w:szCs w:val="32"/>
          <w:lang w:eastAsia="zh-CN"/>
        </w:rPr>
        <w:br w:type="page"/>
      </w:r>
      <w:r>
        <w:rPr>
          <w:rFonts w:hint="eastAsia" w:ascii="方正小标宋简体" w:hAnsi="方正小标宋简体" w:eastAsia="方正小标宋简体" w:cs="方正小标宋简体"/>
          <w:spacing w:val="-6"/>
          <w:w w:val="80"/>
          <w:kern w:val="0"/>
          <w:sz w:val="36"/>
          <w:szCs w:val="36"/>
          <w:u w:val="single"/>
          <w:lang w:eastAsia="zh-CN"/>
        </w:rPr>
        <w:t>固原税务</w:t>
      </w:r>
      <w:r>
        <w:rPr>
          <w:rFonts w:hint="eastAsia" w:ascii="方正小标宋简体" w:hAnsi="方正小标宋简体" w:eastAsia="方正小标宋简体" w:cs="方正小标宋简体"/>
          <w:spacing w:val="-6"/>
          <w:w w:val="80"/>
          <w:kern w:val="0"/>
          <w:sz w:val="36"/>
          <w:szCs w:val="36"/>
          <w:u w:val="single"/>
          <w:lang w:val="en-US" w:eastAsia="zh-CN"/>
        </w:rPr>
        <w:t>2025年机房设施设备和网络线路更新及改造</w:t>
      </w:r>
      <w:r>
        <w:rPr>
          <w:rFonts w:hint="eastAsia" w:ascii="方正小标宋简体" w:hAnsi="方正小标宋简体" w:eastAsia="方正小标宋简体" w:cs="方正小标宋简体"/>
          <w:spacing w:val="-6"/>
          <w:w w:val="78"/>
          <w:kern w:val="0"/>
          <w:sz w:val="36"/>
          <w:szCs w:val="36"/>
          <w:u w:val="single"/>
        </w:rPr>
        <w:t>项目</w:t>
      </w:r>
      <w:r>
        <w:rPr>
          <w:rFonts w:hint="eastAsia" w:ascii="方正小标宋简体" w:hAnsi="方正小标宋简体" w:eastAsia="方正小标宋简体" w:cs="方正小标宋简体"/>
          <w:spacing w:val="-6"/>
          <w:w w:val="78"/>
          <w:kern w:val="0"/>
          <w:sz w:val="36"/>
          <w:szCs w:val="36"/>
          <w:u w:val="none"/>
        </w:rPr>
        <w:t>采购需求前附表</w:t>
      </w:r>
    </w:p>
    <w:tbl>
      <w:tblPr>
        <w:tblStyle w:val="11"/>
        <w:tblW w:w="1013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1"/>
        <w:gridCol w:w="2131"/>
        <w:gridCol w:w="70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71" w:type="dxa"/>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rPr>
              <w:t>序号</w:t>
            </w:r>
          </w:p>
        </w:tc>
        <w:tc>
          <w:tcPr>
            <w:tcW w:w="2131" w:type="dxa"/>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rPr>
              <w:t>类别</w:t>
            </w:r>
          </w:p>
        </w:tc>
        <w:tc>
          <w:tcPr>
            <w:tcW w:w="7037" w:type="dxa"/>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rPr>
              <w:t>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71" w:type="dxa"/>
            <w:vMerge w:val="restart"/>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lang w:val="en-US" w:eastAsia="zh-CN"/>
              </w:rPr>
              <w:t>1</w:t>
            </w:r>
          </w:p>
        </w:tc>
        <w:tc>
          <w:tcPr>
            <w:tcW w:w="2131" w:type="dxa"/>
            <w:vMerge w:val="restart"/>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eastAsia="zh-CN"/>
              </w:rPr>
            </w:pPr>
            <w:r>
              <w:rPr>
                <w:rFonts w:hint="eastAsia" w:ascii="仿宋_GB2312" w:hAnsi="仿宋_GB2312" w:eastAsia="仿宋_GB2312" w:cs="仿宋_GB2312"/>
                <w:color w:val="auto"/>
                <w:w w:val="85"/>
                <w:sz w:val="26"/>
                <w:szCs w:val="26"/>
                <w:lang w:eastAsia="zh-CN"/>
              </w:rPr>
              <w:t>信息化项目</w:t>
            </w:r>
          </w:p>
          <w:p>
            <w:pPr>
              <w:adjustRightInd w:val="0"/>
              <w:snapToGrid w:val="0"/>
              <w:spacing w:line="240" w:lineRule="auto"/>
              <w:jc w:val="center"/>
              <w:rPr>
                <w:rFonts w:hint="eastAsia" w:ascii="仿宋_GB2312" w:hAnsi="仿宋_GB2312" w:eastAsia="仿宋_GB2312" w:cs="仿宋_GB2312"/>
                <w:color w:val="auto"/>
                <w:w w:val="85"/>
                <w:sz w:val="26"/>
                <w:szCs w:val="26"/>
              </w:rPr>
            </w:pPr>
            <w:r>
              <w:rPr>
                <w:rFonts w:hint="eastAsia" w:ascii="仿宋_GB2312" w:hAnsi="仿宋_GB2312" w:eastAsia="仿宋_GB2312" w:cs="仿宋_GB2312"/>
                <w:color w:val="auto"/>
                <w:w w:val="85"/>
                <w:sz w:val="26"/>
                <w:szCs w:val="26"/>
                <w:lang w:eastAsia="zh-CN"/>
              </w:rPr>
              <w:t>立项</w:t>
            </w: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color w:val="auto"/>
                <w:w w:val="85"/>
                <w:sz w:val="26"/>
                <w:szCs w:val="26"/>
              </w:rPr>
            </w:pPr>
            <w:r>
              <w:rPr>
                <w:rFonts w:hint="eastAsia" w:ascii="仿宋_GB2312" w:hAnsi="仿宋_GB2312" w:eastAsia="仿宋_GB2312" w:cs="仿宋_GB2312"/>
                <w:color w:val="auto"/>
                <w:w w:val="85"/>
                <w:sz w:val="26"/>
                <w:szCs w:val="26"/>
                <w:lang w:eastAsia="zh-CN"/>
              </w:rPr>
              <w:t>网信办项目立项时间：</w:t>
            </w:r>
            <w:r>
              <w:rPr>
                <w:rFonts w:hint="eastAsia" w:ascii="仿宋_GB2312" w:hAnsi="仿宋_GB2312" w:eastAsia="仿宋_GB2312" w:cs="仿宋_GB2312"/>
                <w:color w:val="auto"/>
                <w:w w:val="85"/>
                <w:sz w:val="26"/>
                <w:szCs w:val="26"/>
                <w:lang w:val="en-US" w:eastAsia="zh-CN"/>
              </w:rPr>
              <w:t>2025 年5月30日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lang w:val="en-US" w:eastAsia="zh-CN"/>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eastAsia="zh-CN"/>
              </w:rPr>
            </w:pP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color w:val="auto"/>
                <w:w w:val="85"/>
                <w:sz w:val="26"/>
                <w:szCs w:val="26"/>
              </w:rPr>
            </w:pPr>
            <w:r>
              <w:rPr>
                <w:rFonts w:hint="eastAsia" w:ascii="仿宋_GB2312" w:hAnsi="仿宋_GB2312" w:eastAsia="仿宋_GB2312" w:cs="仿宋_GB2312"/>
                <w:color w:val="auto"/>
                <w:w w:val="85"/>
                <w:sz w:val="26"/>
                <w:szCs w:val="26"/>
                <w:lang w:eastAsia="zh-CN"/>
              </w:rPr>
              <w:t>网信办项目立项证明文件：</w:t>
            </w:r>
            <w:r>
              <w:rPr>
                <w:rFonts w:hint="eastAsia" w:ascii="仿宋_GB2312" w:hAnsi="仿宋_GB2312" w:eastAsia="仿宋_GB2312" w:cs="仿宋_GB2312"/>
                <w:color w:val="auto"/>
                <w:w w:val="85"/>
                <w:sz w:val="26"/>
                <w:szCs w:val="26"/>
              </w:rPr>
              <w:sym w:font="Wingdings 2" w:char="0052"/>
            </w:r>
            <w:r>
              <w:rPr>
                <w:rFonts w:hint="eastAsia" w:ascii="仿宋_GB2312" w:hAnsi="仿宋_GB2312" w:eastAsia="仿宋_GB2312" w:cs="仿宋_GB2312"/>
                <w:color w:val="auto"/>
                <w:w w:val="85"/>
                <w:sz w:val="26"/>
                <w:szCs w:val="26"/>
                <w:lang w:eastAsia="zh-CN"/>
              </w:rPr>
              <w:t>有</w:t>
            </w:r>
            <w:r>
              <w:rPr>
                <w:rFonts w:hint="eastAsia" w:ascii="仿宋_GB2312" w:hAnsi="仿宋_GB2312" w:eastAsia="仿宋_GB2312" w:cs="仿宋_GB2312"/>
                <w:color w:val="auto"/>
                <w:w w:val="85"/>
                <w:sz w:val="26"/>
                <w:szCs w:val="26"/>
                <w:lang w:val="en-US" w:eastAsia="zh-CN"/>
              </w:rPr>
              <w:t xml:space="preserve">    </w:t>
            </w:r>
            <w:r>
              <w:rPr>
                <w:rFonts w:hint="eastAsia" w:ascii="仿宋_GB2312" w:hAnsi="仿宋_GB2312" w:eastAsia="仿宋_GB2312" w:cs="仿宋_GB2312"/>
                <w:color w:val="auto"/>
                <w:w w:val="85"/>
                <w:sz w:val="26"/>
                <w:szCs w:val="26"/>
              </w:rPr>
              <w:sym w:font="Wingdings 2" w:char="00A3"/>
            </w:r>
            <w:r>
              <w:rPr>
                <w:rFonts w:hint="eastAsia" w:ascii="仿宋_GB2312" w:hAnsi="仿宋_GB2312" w:eastAsia="仿宋_GB2312" w:cs="仿宋_GB2312"/>
                <w:color w:val="auto"/>
                <w:w w:val="85"/>
                <w:sz w:val="26"/>
                <w:szCs w:val="26"/>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lang w:val="en-US" w:eastAsia="zh-CN"/>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eastAsia="zh-CN"/>
              </w:rPr>
            </w:pP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color w:val="auto"/>
                <w:w w:val="85"/>
                <w:sz w:val="26"/>
                <w:szCs w:val="26"/>
                <w:lang w:eastAsia="zh-CN"/>
              </w:rPr>
            </w:pPr>
            <w:r>
              <w:rPr>
                <w:rFonts w:hint="eastAsia" w:ascii="仿宋_GB2312" w:hAnsi="仿宋_GB2312" w:eastAsia="仿宋_GB2312" w:cs="仿宋_GB2312"/>
                <w:color w:val="auto"/>
                <w:w w:val="85"/>
                <w:sz w:val="26"/>
                <w:szCs w:val="26"/>
                <w:lang w:eastAsia="zh-CN"/>
              </w:rPr>
              <w:t>党委会</w:t>
            </w:r>
            <w:r>
              <w:rPr>
                <w:rFonts w:hint="eastAsia" w:ascii="仿宋_GB2312" w:hAnsi="仿宋_GB2312" w:eastAsia="仿宋_GB2312" w:cs="仿宋_GB2312"/>
                <w:color w:val="auto"/>
                <w:w w:val="85"/>
                <w:sz w:val="26"/>
                <w:szCs w:val="26"/>
                <w:lang w:val="en-US" w:eastAsia="zh-CN"/>
              </w:rPr>
              <w:t>/局长办公会</w:t>
            </w:r>
            <w:r>
              <w:rPr>
                <w:rFonts w:hint="eastAsia" w:ascii="仿宋_GB2312" w:hAnsi="仿宋_GB2312" w:eastAsia="仿宋_GB2312" w:cs="仿宋_GB2312"/>
                <w:color w:val="auto"/>
                <w:w w:val="85"/>
                <w:sz w:val="26"/>
                <w:szCs w:val="26"/>
                <w:lang w:eastAsia="zh-CN"/>
              </w:rPr>
              <w:t>立项证明文件：</w:t>
            </w:r>
            <w:r>
              <w:rPr>
                <w:rFonts w:hint="eastAsia" w:ascii="仿宋_GB2312" w:hAnsi="仿宋_GB2312" w:eastAsia="仿宋_GB2312" w:cs="仿宋_GB2312"/>
                <w:color w:val="auto"/>
                <w:w w:val="85"/>
                <w:sz w:val="26"/>
                <w:szCs w:val="26"/>
              </w:rPr>
              <w:sym w:font="Wingdings 2" w:char="0052"/>
            </w:r>
            <w:r>
              <w:rPr>
                <w:rFonts w:hint="eastAsia" w:ascii="仿宋_GB2312" w:hAnsi="仿宋_GB2312" w:eastAsia="仿宋_GB2312" w:cs="仿宋_GB2312"/>
                <w:color w:val="auto"/>
                <w:w w:val="85"/>
                <w:sz w:val="26"/>
                <w:szCs w:val="26"/>
                <w:lang w:eastAsia="zh-CN"/>
              </w:rPr>
              <w:t>有</w:t>
            </w:r>
            <w:r>
              <w:rPr>
                <w:rFonts w:hint="eastAsia" w:ascii="仿宋_GB2312" w:hAnsi="仿宋_GB2312" w:eastAsia="仿宋_GB2312" w:cs="仿宋_GB2312"/>
                <w:color w:val="auto"/>
                <w:w w:val="85"/>
                <w:sz w:val="26"/>
                <w:szCs w:val="26"/>
                <w:highlight w:val="none"/>
                <w:lang w:val="en-US" w:eastAsia="zh-CN"/>
              </w:rPr>
              <w:t xml:space="preserve"> 2025年7月3日党委会议 </w:t>
            </w:r>
            <w:r>
              <w:rPr>
                <w:rFonts w:hint="eastAsia" w:ascii="仿宋_GB2312" w:hAnsi="仿宋_GB2312" w:eastAsia="仿宋_GB2312" w:cs="仿宋_GB2312"/>
                <w:color w:val="auto"/>
                <w:w w:val="85"/>
                <w:sz w:val="26"/>
                <w:szCs w:val="26"/>
              </w:rPr>
              <w:sym w:font="Wingdings 2" w:char="00A3"/>
            </w:r>
            <w:r>
              <w:rPr>
                <w:rFonts w:hint="eastAsia" w:ascii="仿宋_GB2312" w:hAnsi="仿宋_GB2312" w:eastAsia="仿宋_GB2312" w:cs="仿宋_GB2312"/>
                <w:color w:val="auto"/>
                <w:w w:val="85"/>
                <w:sz w:val="26"/>
                <w:szCs w:val="26"/>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971" w:type="dxa"/>
            <w:vMerge w:val="restart"/>
            <w:noWrap w:val="0"/>
            <w:vAlign w:val="center"/>
          </w:tcPr>
          <w:p>
            <w:pPr>
              <w:adjustRightInd w:val="0"/>
              <w:snapToGrid w:val="0"/>
              <w:spacing w:line="240" w:lineRule="auto"/>
              <w:jc w:val="center"/>
              <w:rPr>
                <w:rFonts w:hint="eastAsia"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lang w:val="en-US" w:eastAsia="zh-CN"/>
              </w:rPr>
              <w:t>2</w:t>
            </w:r>
          </w:p>
        </w:tc>
        <w:tc>
          <w:tcPr>
            <w:tcW w:w="2131" w:type="dxa"/>
            <w:vMerge w:val="restart"/>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eastAsia="zh-CN"/>
              </w:rPr>
            </w:pPr>
            <w:r>
              <w:rPr>
                <w:rFonts w:hint="eastAsia" w:ascii="仿宋_GB2312" w:hAnsi="仿宋_GB2312" w:eastAsia="仿宋_GB2312" w:cs="仿宋_GB2312"/>
                <w:color w:val="auto"/>
                <w:w w:val="85"/>
                <w:sz w:val="26"/>
                <w:szCs w:val="26"/>
                <w:lang w:eastAsia="zh-CN"/>
              </w:rPr>
              <w:t>非信息化项目立项</w:t>
            </w:r>
          </w:p>
        </w:tc>
        <w:tc>
          <w:tcPr>
            <w:tcW w:w="7037" w:type="dxa"/>
            <w:noWrap w:val="0"/>
            <w:vAlign w:val="center"/>
          </w:tcPr>
          <w:p>
            <w:pPr>
              <w:adjustRightInd w:val="0"/>
              <w:snapToGrid w:val="0"/>
              <w:spacing w:line="240" w:lineRule="auto"/>
              <w:jc w:val="left"/>
              <w:rPr>
                <w:rFonts w:hint="default" w:ascii="仿宋_GB2312" w:hAnsi="仿宋_GB2312" w:eastAsia="仿宋_GB2312" w:cs="仿宋_GB2312"/>
                <w:color w:val="auto"/>
                <w:w w:val="85"/>
                <w:sz w:val="26"/>
                <w:szCs w:val="26"/>
                <w:lang w:val="en-US" w:eastAsia="zh-CN"/>
              </w:rPr>
            </w:pPr>
            <w:r>
              <w:rPr>
                <w:rFonts w:hint="eastAsia" w:ascii="仿宋_GB2312" w:hAnsi="仿宋_GB2312" w:eastAsia="仿宋_GB2312" w:cs="仿宋_GB2312"/>
                <w:color w:val="auto"/>
                <w:w w:val="85"/>
                <w:sz w:val="26"/>
                <w:szCs w:val="26"/>
                <w:lang w:eastAsia="zh-CN"/>
              </w:rPr>
              <w:t>党委会项目立项时间：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rPr>
            </w:pP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color w:val="auto"/>
                <w:w w:val="85"/>
                <w:sz w:val="26"/>
                <w:szCs w:val="26"/>
                <w:lang w:eastAsia="zh-CN"/>
              </w:rPr>
            </w:pPr>
            <w:r>
              <w:rPr>
                <w:rFonts w:hint="eastAsia" w:ascii="仿宋_GB2312" w:hAnsi="仿宋_GB2312" w:eastAsia="仿宋_GB2312" w:cs="仿宋_GB2312"/>
                <w:color w:val="auto"/>
                <w:w w:val="85"/>
                <w:sz w:val="26"/>
                <w:szCs w:val="26"/>
                <w:lang w:eastAsia="zh-CN"/>
              </w:rPr>
              <w:t>项目立项证明文件：</w:t>
            </w:r>
            <w:r>
              <w:rPr>
                <w:rFonts w:hint="eastAsia" w:ascii="仿宋_GB2312" w:hAnsi="仿宋_GB2312" w:eastAsia="仿宋_GB2312" w:cs="仿宋_GB2312"/>
                <w:color w:val="auto"/>
                <w:w w:val="85"/>
                <w:sz w:val="26"/>
                <w:szCs w:val="26"/>
              </w:rPr>
              <w:sym w:font="Wingdings 2" w:char="00A3"/>
            </w:r>
            <w:r>
              <w:rPr>
                <w:rFonts w:hint="eastAsia" w:ascii="仿宋_GB2312" w:hAnsi="仿宋_GB2312" w:eastAsia="仿宋_GB2312" w:cs="仿宋_GB2312"/>
                <w:color w:val="auto"/>
                <w:w w:val="85"/>
                <w:sz w:val="26"/>
                <w:szCs w:val="26"/>
                <w:lang w:eastAsia="zh-CN"/>
              </w:rPr>
              <w:t>有XX年第X期XX会议</w:t>
            </w:r>
            <w:r>
              <w:rPr>
                <w:rFonts w:hint="eastAsia" w:ascii="仿宋_GB2312" w:hAnsi="仿宋_GB2312" w:eastAsia="仿宋_GB2312" w:cs="仿宋_GB2312"/>
                <w:color w:val="auto"/>
                <w:w w:val="85"/>
                <w:sz w:val="26"/>
                <w:szCs w:val="26"/>
                <w:lang w:val="en-US" w:eastAsia="zh-CN"/>
              </w:rPr>
              <w:t xml:space="preserve">   </w:t>
            </w:r>
            <w:r>
              <w:rPr>
                <w:rFonts w:hint="eastAsia" w:ascii="仿宋_GB2312" w:hAnsi="仿宋_GB2312" w:eastAsia="仿宋_GB2312" w:cs="仿宋_GB2312"/>
                <w:color w:val="auto"/>
                <w:w w:val="85"/>
                <w:sz w:val="26"/>
                <w:szCs w:val="26"/>
              </w:rPr>
              <w:sym w:font="Wingdings 2" w:char="00A3"/>
            </w:r>
            <w:r>
              <w:rPr>
                <w:rFonts w:hint="eastAsia" w:ascii="仿宋_GB2312" w:hAnsi="仿宋_GB2312" w:eastAsia="仿宋_GB2312" w:cs="仿宋_GB2312"/>
                <w:color w:val="auto"/>
                <w:w w:val="85"/>
                <w:sz w:val="26"/>
                <w:szCs w:val="26"/>
                <w:lang w:eastAsia="zh-CN"/>
              </w:rPr>
              <w:t>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71" w:type="dxa"/>
            <w:vMerge w:val="restart"/>
            <w:noWrap w:val="0"/>
            <w:vAlign w:val="center"/>
          </w:tcPr>
          <w:p>
            <w:pPr>
              <w:adjustRightInd w:val="0"/>
              <w:snapToGrid w:val="0"/>
              <w:spacing w:line="240" w:lineRule="auto"/>
              <w:jc w:val="center"/>
              <w:rPr>
                <w:rFonts w:hint="default"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lang w:val="en-US" w:eastAsia="zh-CN"/>
              </w:rPr>
              <w:t>3</w:t>
            </w:r>
          </w:p>
        </w:tc>
        <w:tc>
          <w:tcPr>
            <w:tcW w:w="2131" w:type="dxa"/>
            <w:vMerge w:val="restart"/>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rPr>
            </w:pPr>
            <w:r>
              <w:rPr>
                <w:rFonts w:hint="eastAsia" w:ascii="仿宋_GB2312" w:hAnsi="仿宋_GB2312" w:eastAsia="仿宋_GB2312" w:cs="仿宋_GB2312"/>
                <w:color w:val="auto"/>
                <w:w w:val="85"/>
                <w:sz w:val="26"/>
                <w:szCs w:val="26"/>
              </w:rPr>
              <w:t>项目预算</w:t>
            </w:r>
            <w:r>
              <w:rPr>
                <w:rFonts w:hint="eastAsia" w:ascii="仿宋_GB2312" w:hAnsi="仿宋_GB2312" w:eastAsia="仿宋_GB2312" w:cs="仿宋_GB2312"/>
                <w:color w:val="auto"/>
                <w:w w:val="85"/>
                <w:sz w:val="26"/>
                <w:szCs w:val="26"/>
                <w:lang w:eastAsia="zh-CN"/>
              </w:rPr>
              <w:t>安排</w:t>
            </w:r>
          </w:p>
        </w:tc>
        <w:tc>
          <w:tcPr>
            <w:tcW w:w="7037" w:type="dxa"/>
            <w:noWrap w:val="0"/>
            <w:vAlign w:val="center"/>
          </w:tcPr>
          <w:p>
            <w:pPr>
              <w:adjustRightInd w:val="0"/>
              <w:snapToGrid w:val="0"/>
              <w:spacing w:line="240" w:lineRule="auto"/>
              <w:jc w:val="left"/>
              <w:rPr>
                <w:rFonts w:hint="default" w:ascii="仿宋_GB2312" w:hAnsi="仿宋_GB2312" w:eastAsia="仿宋_GB2312" w:cs="仿宋_GB2312"/>
                <w:color w:val="auto"/>
                <w:w w:val="85"/>
                <w:sz w:val="26"/>
                <w:szCs w:val="26"/>
                <w:lang w:val="en-US" w:eastAsia="zh-CN"/>
              </w:rPr>
            </w:pPr>
            <w:r>
              <w:rPr>
                <w:rFonts w:hint="eastAsia" w:ascii="仿宋_GB2312" w:hAnsi="仿宋_GB2312" w:eastAsia="仿宋_GB2312" w:cs="仿宋_GB2312"/>
                <w:color w:val="auto"/>
                <w:w w:val="85"/>
                <w:sz w:val="26"/>
                <w:szCs w:val="26"/>
              </w:rPr>
              <w:t>总预算金额（万元）：</w:t>
            </w:r>
            <w:r>
              <w:rPr>
                <w:rFonts w:hint="eastAsia" w:ascii="仿宋_GB2312" w:hAnsi="仿宋_GB2312" w:eastAsia="仿宋_GB2312" w:cs="仿宋_GB2312"/>
                <w:color w:val="auto"/>
                <w:w w:val="85"/>
                <w:sz w:val="26"/>
                <w:szCs w:val="26"/>
                <w:lang w:val="en-US" w:eastAsia="zh-CN"/>
              </w:rPr>
              <w:t>187万元     服务周期：按合同约定为准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7037" w:type="dxa"/>
            <w:noWrap w:val="0"/>
            <w:vAlign w:val="center"/>
          </w:tcPr>
          <w:p>
            <w:pPr>
              <w:adjustRightInd w:val="0"/>
              <w:snapToGrid w:val="0"/>
              <w:spacing w:line="240" w:lineRule="auto"/>
              <w:jc w:val="left"/>
              <w:rPr>
                <w:rFonts w:hint="default"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rPr>
              <w:t>当年预算</w:t>
            </w:r>
            <w:r>
              <w:rPr>
                <w:rFonts w:hint="eastAsia" w:ascii="仿宋_GB2312" w:hAnsi="仿宋_GB2312" w:eastAsia="仿宋_GB2312" w:cs="仿宋_GB2312"/>
                <w:w w:val="85"/>
                <w:sz w:val="26"/>
                <w:szCs w:val="26"/>
                <w:lang w:eastAsia="zh-CN"/>
              </w:rPr>
              <w:t>安排</w:t>
            </w:r>
            <w:r>
              <w:rPr>
                <w:rFonts w:hint="eastAsia" w:ascii="仿宋_GB2312" w:hAnsi="仿宋_GB2312" w:eastAsia="仿宋_GB2312" w:cs="仿宋_GB2312"/>
                <w:w w:val="85"/>
                <w:sz w:val="26"/>
                <w:szCs w:val="26"/>
              </w:rPr>
              <w:t>金额（万元）：</w:t>
            </w:r>
            <w:r>
              <w:rPr>
                <w:rFonts w:hint="eastAsia" w:ascii="仿宋_GB2312" w:hAnsi="仿宋_GB2312" w:eastAsia="仿宋_GB2312" w:cs="仿宋_GB2312"/>
                <w:w w:val="85"/>
                <w:sz w:val="26"/>
                <w:szCs w:val="26"/>
                <w:lang w:val="en-US" w:eastAsia="zh-CN"/>
              </w:rPr>
              <w:t>187万元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9"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7037" w:type="dxa"/>
            <w:noWrap w:val="0"/>
            <w:vAlign w:val="center"/>
          </w:tcPr>
          <w:p>
            <w:pPr>
              <w:tabs>
                <w:tab w:val="left" w:pos="705"/>
              </w:tabs>
              <w:adjustRightInd w:val="0"/>
              <w:snapToGrid w:val="0"/>
              <w:spacing w:line="240" w:lineRule="auto"/>
              <w:jc w:val="left"/>
              <w:rPr>
                <w:rFonts w:hint="eastAsia" w:ascii="仿宋_GB2312" w:hAnsi="仿宋_GB2312" w:eastAsia="仿宋_GB2312" w:cs="仿宋_GB2312"/>
                <w:w w:val="85"/>
                <w:sz w:val="26"/>
                <w:szCs w:val="26"/>
                <w:lang w:eastAsia="zh-CN"/>
              </w:rPr>
            </w:pPr>
            <w:r>
              <w:rPr>
                <w:rFonts w:hint="eastAsia" w:ascii="仿宋_GB2312" w:hAnsi="仿宋_GB2312" w:eastAsia="仿宋_GB2312" w:cs="仿宋_GB2312"/>
                <w:w w:val="85"/>
                <w:sz w:val="26"/>
                <w:szCs w:val="26"/>
              </w:rPr>
              <w:t>项目资金来源：</w:t>
            </w:r>
            <w:r>
              <w:rPr>
                <w:rFonts w:hint="eastAsia" w:ascii="仿宋_GB2312" w:hAnsi="仿宋_GB2312" w:eastAsia="仿宋_GB2312" w:cs="仿宋_GB2312"/>
                <w:w w:val="85"/>
                <w:sz w:val="26"/>
                <w:szCs w:val="26"/>
                <w:lang w:eastAsia="zh-CN"/>
              </w:rPr>
              <w:t>国家税务总局固原市税务局；国家税务总局固原市原州区税务局；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4" w:hRule="atLeast"/>
          <w:jc w:val="center"/>
        </w:trPr>
        <w:tc>
          <w:tcPr>
            <w:tcW w:w="971" w:type="dxa"/>
            <w:vMerge w:val="restart"/>
            <w:noWrap w:val="0"/>
            <w:vAlign w:val="center"/>
          </w:tcPr>
          <w:p>
            <w:pPr>
              <w:adjustRightInd w:val="0"/>
              <w:snapToGrid w:val="0"/>
              <w:spacing w:line="240" w:lineRule="auto"/>
              <w:jc w:val="center"/>
              <w:rPr>
                <w:rFonts w:hint="default"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lang w:val="en-US" w:eastAsia="zh-CN"/>
              </w:rPr>
              <w:t>4</w:t>
            </w:r>
          </w:p>
        </w:tc>
        <w:tc>
          <w:tcPr>
            <w:tcW w:w="2131" w:type="dxa"/>
            <w:vMerge w:val="restart"/>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rPr>
              <w:t>项目采购内容</w:t>
            </w: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w w:val="85"/>
                <w:sz w:val="26"/>
                <w:szCs w:val="26"/>
                <w:lang w:eastAsia="zh-CN"/>
              </w:rPr>
            </w:pPr>
            <w:r>
              <w:rPr>
                <w:rFonts w:hint="eastAsia" w:ascii="仿宋_GB2312" w:hAnsi="仿宋_GB2312" w:eastAsia="仿宋_GB2312" w:cs="仿宋_GB2312"/>
                <w:w w:val="85"/>
                <w:sz w:val="26"/>
                <w:szCs w:val="26"/>
                <w:lang w:eastAsia="zh-CN"/>
              </w:rPr>
              <w:t>（</w:t>
            </w:r>
            <w:r>
              <w:rPr>
                <w:rFonts w:hint="eastAsia" w:ascii="仿宋_GB2312" w:hAnsi="仿宋_GB2312" w:eastAsia="仿宋_GB2312" w:cs="仿宋_GB2312"/>
                <w:w w:val="85"/>
                <w:sz w:val="26"/>
                <w:szCs w:val="26"/>
                <w:lang w:val="en-US" w:eastAsia="zh-CN"/>
              </w:rPr>
              <w:t>1</w:t>
            </w:r>
            <w:r>
              <w:rPr>
                <w:rFonts w:hint="eastAsia" w:ascii="仿宋_GB2312" w:hAnsi="仿宋_GB2312" w:eastAsia="仿宋_GB2312" w:cs="仿宋_GB2312"/>
                <w:w w:val="85"/>
                <w:sz w:val="26"/>
                <w:szCs w:val="26"/>
                <w:lang w:eastAsia="zh-CN"/>
              </w:rPr>
              <w:t>）</w:t>
            </w:r>
            <w:r>
              <w:rPr>
                <w:rFonts w:hint="eastAsia" w:ascii="仿宋_GB2312" w:hAnsi="仿宋_GB2312" w:eastAsia="仿宋_GB2312" w:cs="仿宋_GB2312"/>
                <w:w w:val="85"/>
                <w:sz w:val="26"/>
                <w:szCs w:val="26"/>
              </w:rPr>
              <w:t>货物名称及数量：</w:t>
            </w:r>
            <w:r>
              <w:rPr>
                <w:rFonts w:hint="eastAsia" w:ascii="仿宋_GB2312" w:hAnsi="仿宋_GB2312" w:eastAsia="仿宋_GB2312" w:cs="仿宋_GB2312"/>
                <w:w w:val="85"/>
                <w:sz w:val="26"/>
                <w:szCs w:val="26"/>
                <w:lang w:eastAsia="zh-CN"/>
              </w:rPr>
              <w:t>（详见采购需求项目）</w:t>
            </w:r>
          </w:p>
          <w:p>
            <w:pPr>
              <w:adjustRightInd w:val="0"/>
              <w:snapToGrid w:val="0"/>
              <w:spacing w:line="240" w:lineRule="auto"/>
              <w:jc w:val="left"/>
              <w:rPr>
                <w:rFonts w:hint="eastAsia" w:ascii="仿宋_GB2312" w:hAnsi="仿宋_GB2312" w:eastAsia="仿宋_GB2312" w:cs="仿宋_GB2312"/>
                <w:w w:val="85"/>
                <w:sz w:val="26"/>
                <w:szCs w:val="26"/>
                <w:lang w:eastAsia="zh-CN"/>
              </w:rPr>
            </w:pPr>
            <w:r>
              <w:rPr>
                <w:rFonts w:hint="eastAsia" w:ascii="仿宋_GB2312" w:hAnsi="仿宋_GB2312" w:eastAsia="仿宋_GB2312" w:cs="仿宋_GB2312"/>
                <w:w w:val="85"/>
                <w:sz w:val="26"/>
                <w:szCs w:val="26"/>
                <w:lang w:eastAsia="zh-CN"/>
              </w:rPr>
              <w:t>核心产品：列头柜、IT机柜、无线AP、IP话机、空调等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w w:val="85"/>
                <w:sz w:val="26"/>
                <w:szCs w:val="26"/>
                <w:lang w:eastAsia="zh-CN"/>
              </w:rPr>
            </w:pPr>
            <w:r>
              <w:rPr>
                <w:rFonts w:hint="eastAsia" w:ascii="仿宋_GB2312" w:hAnsi="仿宋_GB2312" w:eastAsia="仿宋_GB2312" w:cs="仿宋_GB2312"/>
                <w:w w:val="85"/>
                <w:sz w:val="26"/>
                <w:szCs w:val="26"/>
                <w:lang w:eastAsia="zh-CN"/>
              </w:rPr>
              <w:t>（</w:t>
            </w:r>
            <w:r>
              <w:rPr>
                <w:rFonts w:hint="eastAsia" w:ascii="仿宋_GB2312" w:hAnsi="仿宋_GB2312" w:eastAsia="仿宋_GB2312" w:cs="仿宋_GB2312"/>
                <w:w w:val="85"/>
                <w:sz w:val="26"/>
                <w:szCs w:val="26"/>
                <w:lang w:val="en-US" w:eastAsia="zh-CN"/>
              </w:rPr>
              <w:t>2</w:t>
            </w:r>
            <w:r>
              <w:rPr>
                <w:rFonts w:hint="eastAsia" w:ascii="仿宋_GB2312" w:hAnsi="仿宋_GB2312" w:eastAsia="仿宋_GB2312" w:cs="仿宋_GB2312"/>
                <w:w w:val="85"/>
                <w:sz w:val="26"/>
                <w:szCs w:val="26"/>
                <w:lang w:eastAsia="zh-CN"/>
              </w:rPr>
              <w:t>）</w:t>
            </w:r>
            <w:r>
              <w:rPr>
                <w:rFonts w:hint="eastAsia" w:ascii="仿宋_GB2312" w:hAnsi="仿宋_GB2312" w:eastAsia="仿宋_GB2312" w:cs="仿宋_GB2312"/>
                <w:w w:val="85"/>
                <w:sz w:val="26"/>
                <w:szCs w:val="26"/>
              </w:rPr>
              <w:t>服务内容：安装调试服务、安全服务、培训服务、技术支持服务等（详见附件）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9"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w w:val="85"/>
                <w:sz w:val="26"/>
                <w:szCs w:val="26"/>
                <w:lang w:eastAsia="zh-CN"/>
              </w:rPr>
            </w:pPr>
            <w:r>
              <w:rPr>
                <w:rFonts w:hint="eastAsia" w:ascii="仿宋_GB2312" w:hAnsi="仿宋_GB2312" w:eastAsia="仿宋_GB2312" w:cs="仿宋_GB2312"/>
                <w:w w:val="85"/>
                <w:sz w:val="26"/>
                <w:szCs w:val="26"/>
                <w:lang w:eastAsia="zh-CN"/>
              </w:rPr>
              <w:t>（</w:t>
            </w:r>
            <w:r>
              <w:rPr>
                <w:rFonts w:hint="eastAsia" w:ascii="仿宋_GB2312" w:hAnsi="仿宋_GB2312" w:eastAsia="仿宋_GB2312" w:cs="仿宋_GB2312"/>
                <w:w w:val="85"/>
                <w:sz w:val="26"/>
                <w:szCs w:val="26"/>
                <w:lang w:val="en-US" w:eastAsia="zh-CN"/>
              </w:rPr>
              <w:t>3</w:t>
            </w:r>
            <w:r>
              <w:rPr>
                <w:rFonts w:hint="eastAsia" w:ascii="仿宋_GB2312" w:hAnsi="仿宋_GB2312" w:eastAsia="仿宋_GB2312" w:cs="仿宋_GB2312"/>
                <w:w w:val="85"/>
                <w:sz w:val="26"/>
                <w:szCs w:val="26"/>
                <w:lang w:eastAsia="zh-CN"/>
              </w:rPr>
              <w:t>）工程内容：综合布线工程、消防安防工程、装饰装修工程等（详见附件）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0" w:hRule="atLeast"/>
          <w:jc w:val="center"/>
        </w:trPr>
        <w:tc>
          <w:tcPr>
            <w:tcW w:w="971" w:type="dxa"/>
            <w:noWrap w:val="0"/>
            <w:vAlign w:val="center"/>
          </w:tcPr>
          <w:p>
            <w:pPr>
              <w:adjustRightInd w:val="0"/>
              <w:snapToGrid w:val="0"/>
              <w:spacing w:line="240" w:lineRule="auto"/>
              <w:jc w:val="center"/>
              <w:rPr>
                <w:rFonts w:hint="default"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lang w:val="en-US" w:eastAsia="zh-CN"/>
              </w:rPr>
              <w:t>5</w:t>
            </w:r>
          </w:p>
        </w:tc>
        <w:tc>
          <w:tcPr>
            <w:tcW w:w="2131" w:type="dxa"/>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rPr>
              <w:t>项目实施时间</w:t>
            </w:r>
          </w:p>
        </w:tc>
        <w:tc>
          <w:tcPr>
            <w:tcW w:w="7037" w:type="dxa"/>
            <w:noWrap w:val="0"/>
            <w:vAlign w:val="center"/>
          </w:tcPr>
          <w:p>
            <w:pPr>
              <w:adjustRightInd w:val="0"/>
              <w:snapToGrid w:val="0"/>
              <w:spacing w:line="240" w:lineRule="auto"/>
              <w:jc w:val="both"/>
              <w:rPr>
                <w:rFonts w:hint="default" w:ascii="仿宋_GB2312" w:hAnsi="仿宋_GB2312" w:eastAsia="仿宋_GB2312" w:cs="仿宋_GB2312"/>
                <w:w w:val="85"/>
                <w:sz w:val="26"/>
                <w:szCs w:val="26"/>
                <w:lang w:val="en-US"/>
              </w:rPr>
            </w:pPr>
            <w:r>
              <w:rPr>
                <w:rFonts w:hint="default" w:ascii="仿宋_GB2312" w:hAnsi="仿宋_GB2312" w:eastAsia="仿宋_GB2312" w:cs="仿宋_GB2312"/>
                <w:w w:val="85"/>
                <w:sz w:val="26"/>
                <w:szCs w:val="26"/>
                <w:lang w:val="en-US"/>
              </w:rPr>
              <w:t>按照采购合同约定的服务期限、到货期限、安装调试期限、质量保证期限、各项服务按期完成。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jc w:val="center"/>
        </w:trPr>
        <w:tc>
          <w:tcPr>
            <w:tcW w:w="971" w:type="dxa"/>
            <w:noWrap w:val="0"/>
            <w:vAlign w:val="center"/>
          </w:tcPr>
          <w:p>
            <w:pPr>
              <w:adjustRightInd w:val="0"/>
              <w:snapToGrid w:val="0"/>
              <w:spacing w:line="240" w:lineRule="auto"/>
              <w:jc w:val="center"/>
              <w:rPr>
                <w:rFonts w:hint="default"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lang w:val="en-US" w:eastAsia="zh-CN"/>
              </w:rPr>
              <w:t>6</w:t>
            </w:r>
          </w:p>
        </w:tc>
        <w:tc>
          <w:tcPr>
            <w:tcW w:w="2131" w:type="dxa"/>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rPr>
              <w:t>项目实施地点</w:t>
            </w:r>
          </w:p>
        </w:tc>
        <w:tc>
          <w:tcPr>
            <w:tcW w:w="7037" w:type="dxa"/>
            <w:noWrap w:val="0"/>
            <w:vAlign w:val="center"/>
          </w:tcPr>
          <w:p>
            <w:pPr>
              <w:adjustRightInd w:val="0"/>
              <w:snapToGrid w:val="0"/>
              <w:spacing w:line="240" w:lineRule="auto"/>
              <w:rPr>
                <w:rFonts w:hint="eastAsia" w:ascii="仿宋_GB2312" w:hAnsi="仿宋_GB2312" w:eastAsia="仿宋_GB2312" w:cs="仿宋_GB2312"/>
                <w:w w:val="85"/>
                <w:sz w:val="26"/>
                <w:szCs w:val="26"/>
                <w:lang w:eastAsia="zh-CN"/>
              </w:rPr>
            </w:pPr>
            <w:r>
              <w:rPr>
                <w:rFonts w:hint="eastAsia" w:ascii="仿宋_GB2312" w:hAnsi="仿宋_GB2312" w:eastAsia="仿宋_GB2312" w:cs="仿宋_GB2312"/>
                <w:w w:val="85"/>
                <w:sz w:val="26"/>
                <w:szCs w:val="26"/>
                <w:lang w:eastAsia="zh-CN"/>
              </w:rPr>
              <w:t>国家税务总局固原市税务局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3" w:hRule="atLeast"/>
          <w:jc w:val="center"/>
        </w:trPr>
        <w:tc>
          <w:tcPr>
            <w:tcW w:w="971" w:type="dxa"/>
            <w:noWrap w:val="0"/>
            <w:vAlign w:val="center"/>
          </w:tcPr>
          <w:p>
            <w:pPr>
              <w:adjustRightInd w:val="0"/>
              <w:snapToGrid w:val="0"/>
              <w:spacing w:line="240" w:lineRule="auto"/>
              <w:jc w:val="center"/>
              <w:rPr>
                <w:rFonts w:hint="default"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lang w:val="en-US" w:eastAsia="zh-CN"/>
              </w:rPr>
              <w:t>7</w:t>
            </w:r>
          </w:p>
        </w:tc>
        <w:tc>
          <w:tcPr>
            <w:tcW w:w="2131" w:type="dxa"/>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rPr>
              <w:t>项目实施范围</w:t>
            </w:r>
          </w:p>
        </w:tc>
        <w:tc>
          <w:tcPr>
            <w:tcW w:w="7037" w:type="dxa"/>
            <w:noWrap w:val="0"/>
            <w:vAlign w:val="center"/>
          </w:tcPr>
          <w:p>
            <w:pPr>
              <w:adjustRightInd w:val="0"/>
              <w:snapToGrid w:val="0"/>
              <w:spacing w:line="240" w:lineRule="auto"/>
              <w:rPr>
                <w:rFonts w:hint="default"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lang w:eastAsia="zh-CN"/>
              </w:rPr>
              <w:t>固原市税务局</w:t>
            </w:r>
            <w:r>
              <w:rPr>
                <w:rFonts w:hint="eastAsia" w:ascii="仿宋_GB2312" w:hAnsi="仿宋_GB2312" w:eastAsia="仿宋_GB2312" w:cs="仿宋_GB2312"/>
                <w:w w:val="85"/>
                <w:sz w:val="26"/>
                <w:szCs w:val="26"/>
                <w:lang w:val="en-US" w:eastAsia="zh-CN"/>
              </w:rPr>
              <w:t>4楼中心机房、办公楼</w:t>
            </w:r>
            <w:r>
              <w:rPr>
                <w:rFonts w:hint="eastAsia" w:ascii="仿宋_GB2312" w:eastAsia="仿宋_GB2312"/>
                <w:sz w:val="24"/>
                <w:lang w:val="en-US" w:eastAsia="zh-CN"/>
              </w:rPr>
              <w:t>网络综合布线、无线网络及通讯系统改造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5" w:hRule="atLeast"/>
          <w:jc w:val="center"/>
        </w:trPr>
        <w:tc>
          <w:tcPr>
            <w:tcW w:w="971" w:type="dxa"/>
            <w:vMerge w:val="restart"/>
            <w:noWrap w:val="0"/>
            <w:vAlign w:val="center"/>
          </w:tcPr>
          <w:p>
            <w:pPr>
              <w:adjustRightInd w:val="0"/>
              <w:snapToGrid w:val="0"/>
              <w:spacing w:line="240" w:lineRule="auto"/>
              <w:jc w:val="center"/>
              <w:rPr>
                <w:rFonts w:hint="default"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lang w:val="en-US" w:eastAsia="zh-CN"/>
              </w:rPr>
              <w:t>8</w:t>
            </w:r>
          </w:p>
        </w:tc>
        <w:tc>
          <w:tcPr>
            <w:tcW w:w="2131" w:type="dxa"/>
            <w:vMerge w:val="restart"/>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rPr>
              <w:t>项目相关单位</w:t>
            </w: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w w:val="85"/>
                <w:sz w:val="26"/>
                <w:szCs w:val="26"/>
              </w:rPr>
            </w:pPr>
            <w:r>
              <w:rPr>
                <w:rFonts w:hint="eastAsia" w:ascii="仿宋_GB2312" w:hAnsi="仿宋_GB2312" w:eastAsia="仿宋_GB2312" w:cs="仿宋_GB2312"/>
                <w:w w:val="85"/>
                <w:sz w:val="26"/>
                <w:szCs w:val="26"/>
              </w:rPr>
              <w:t>需求部门：</w:t>
            </w:r>
            <w:r>
              <w:rPr>
                <w:rFonts w:hint="eastAsia" w:ascii="仿宋_GB2312" w:hAnsi="仿宋_GB2312" w:eastAsia="仿宋_GB2312" w:cs="仿宋_GB2312"/>
                <w:w w:val="85"/>
                <w:sz w:val="26"/>
                <w:szCs w:val="26"/>
                <w:lang w:eastAsia="zh-CN"/>
              </w:rPr>
              <w:t>信息中心</w:t>
            </w:r>
            <w:r>
              <w:rPr>
                <w:rFonts w:hint="eastAsia" w:ascii="仿宋_GB2312" w:hAnsi="仿宋_GB2312" w:eastAsia="仿宋_GB2312" w:cs="仿宋_GB2312"/>
                <w:w w:val="85"/>
                <w:sz w:val="26"/>
                <w:szCs w:val="26"/>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w w:val="85"/>
                <w:sz w:val="26"/>
                <w:szCs w:val="26"/>
              </w:rPr>
            </w:pP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w w:val="85"/>
                <w:sz w:val="26"/>
                <w:szCs w:val="26"/>
                <w:lang w:val="en-US" w:eastAsia="zh-CN"/>
              </w:rPr>
            </w:pPr>
            <w:r>
              <w:rPr>
                <w:rFonts w:hint="eastAsia" w:ascii="仿宋_GB2312" w:hAnsi="仿宋_GB2312" w:eastAsia="仿宋_GB2312" w:cs="仿宋_GB2312"/>
                <w:w w:val="85"/>
                <w:sz w:val="26"/>
                <w:szCs w:val="26"/>
              </w:rPr>
              <w:t>验收部门：</w:t>
            </w:r>
            <w:r>
              <w:rPr>
                <w:rFonts w:hint="eastAsia" w:ascii="仿宋_GB2312" w:hAnsi="仿宋_GB2312" w:eastAsia="仿宋_GB2312" w:cs="仿宋_GB2312"/>
                <w:w w:val="85"/>
                <w:sz w:val="26"/>
                <w:szCs w:val="26"/>
                <w:lang w:eastAsia="zh-CN"/>
              </w:rPr>
              <w:t>信息中心、督审科、征管科、法制科、财务科、办公室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 w:hRule="atLeast"/>
          <w:jc w:val="center"/>
        </w:trPr>
        <w:tc>
          <w:tcPr>
            <w:tcW w:w="971" w:type="dxa"/>
            <w:vMerge w:val="restart"/>
            <w:noWrap w:val="0"/>
            <w:vAlign w:val="center"/>
          </w:tcPr>
          <w:p>
            <w:pPr>
              <w:adjustRightInd w:val="0"/>
              <w:snapToGrid w:val="0"/>
              <w:spacing w:line="240" w:lineRule="auto"/>
              <w:jc w:val="center"/>
              <w:rPr>
                <w:rFonts w:hint="default" w:ascii="仿宋_GB2312" w:hAnsi="仿宋_GB2312" w:eastAsia="仿宋_GB2312" w:cs="仿宋_GB2312"/>
                <w:color w:val="auto"/>
                <w:w w:val="85"/>
                <w:sz w:val="26"/>
                <w:szCs w:val="26"/>
                <w:lang w:val="en-US" w:eastAsia="zh-CN"/>
              </w:rPr>
            </w:pPr>
            <w:r>
              <w:rPr>
                <w:rFonts w:hint="eastAsia" w:ascii="仿宋_GB2312" w:hAnsi="仿宋_GB2312" w:eastAsia="仿宋_GB2312" w:cs="仿宋_GB2312"/>
                <w:color w:val="auto"/>
                <w:w w:val="85"/>
                <w:sz w:val="26"/>
                <w:szCs w:val="26"/>
                <w:lang w:val="en-US" w:eastAsia="zh-CN"/>
              </w:rPr>
              <w:t>9</w:t>
            </w:r>
          </w:p>
        </w:tc>
        <w:tc>
          <w:tcPr>
            <w:tcW w:w="2131" w:type="dxa"/>
            <w:vMerge w:val="restart"/>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eastAsia="zh-CN"/>
              </w:rPr>
            </w:pPr>
            <w:r>
              <w:rPr>
                <w:rFonts w:hint="eastAsia" w:ascii="仿宋_GB2312" w:hAnsi="仿宋_GB2312" w:eastAsia="仿宋_GB2312" w:cs="仿宋_GB2312"/>
                <w:color w:val="auto"/>
                <w:w w:val="85"/>
                <w:sz w:val="26"/>
                <w:szCs w:val="26"/>
                <w:lang w:eastAsia="zh-CN"/>
              </w:rPr>
              <w:t>采购意向公开</w:t>
            </w: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color w:val="auto"/>
                <w:w w:val="85"/>
                <w:sz w:val="26"/>
                <w:szCs w:val="26"/>
                <w:lang w:val="en-US" w:eastAsia="zh-CN"/>
              </w:rPr>
            </w:pPr>
            <w:r>
              <w:rPr>
                <w:rFonts w:hint="eastAsia" w:ascii="仿宋_GB2312" w:hAnsi="仿宋_GB2312" w:eastAsia="仿宋_GB2312" w:cs="仿宋_GB2312"/>
                <w:color w:val="auto"/>
                <w:w w:val="85"/>
                <w:sz w:val="26"/>
                <w:szCs w:val="26"/>
              </w:rPr>
              <w:sym w:font="Wingdings 2" w:char="0052"/>
            </w:r>
            <w:r>
              <w:rPr>
                <w:rFonts w:hint="eastAsia" w:ascii="仿宋_GB2312" w:hAnsi="仿宋_GB2312" w:eastAsia="仿宋_GB2312" w:cs="仿宋_GB2312"/>
                <w:color w:val="auto"/>
                <w:w w:val="85"/>
                <w:sz w:val="26"/>
                <w:szCs w:val="26"/>
                <w:lang w:eastAsia="zh-CN"/>
              </w:rPr>
              <w:t>本项目已于</w:t>
            </w:r>
            <w:r>
              <w:rPr>
                <w:rFonts w:hint="eastAsia" w:ascii="仿宋_GB2312" w:hAnsi="仿宋_GB2312" w:eastAsia="仿宋_GB2312" w:cs="仿宋_GB2312"/>
                <w:color w:val="auto"/>
                <w:w w:val="85"/>
                <w:sz w:val="26"/>
                <w:szCs w:val="26"/>
                <w:u w:val="single"/>
                <w:lang w:val="en-US" w:eastAsia="zh-CN"/>
              </w:rPr>
              <w:t>2025</w:t>
            </w:r>
            <w:r>
              <w:rPr>
                <w:rFonts w:hint="eastAsia" w:ascii="仿宋_GB2312" w:hAnsi="仿宋_GB2312" w:eastAsia="仿宋_GB2312" w:cs="仿宋_GB2312"/>
                <w:color w:val="auto"/>
                <w:w w:val="85"/>
                <w:sz w:val="26"/>
                <w:szCs w:val="26"/>
                <w:lang w:val="en-US" w:eastAsia="zh-CN"/>
              </w:rPr>
              <w:t>年</w:t>
            </w:r>
            <w:r>
              <w:rPr>
                <w:rFonts w:hint="eastAsia" w:ascii="仿宋_GB2312" w:hAnsi="仿宋_GB2312" w:eastAsia="仿宋_GB2312" w:cs="仿宋_GB2312"/>
                <w:color w:val="auto"/>
                <w:w w:val="85"/>
                <w:sz w:val="26"/>
                <w:szCs w:val="26"/>
                <w:u w:val="single"/>
                <w:lang w:val="en-US" w:eastAsia="zh-CN"/>
              </w:rPr>
              <w:t>4</w:t>
            </w:r>
            <w:r>
              <w:rPr>
                <w:rFonts w:hint="eastAsia" w:ascii="仿宋_GB2312" w:hAnsi="仿宋_GB2312" w:eastAsia="仿宋_GB2312" w:cs="仿宋_GB2312"/>
                <w:color w:val="auto"/>
                <w:w w:val="85"/>
                <w:sz w:val="26"/>
                <w:szCs w:val="26"/>
                <w:lang w:val="en-US" w:eastAsia="zh-CN"/>
              </w:rPr>
              <w:t>月</w:t>
            </w:r>
            <w:r>
              <w:rPr>
                <w:rFonts w:hint="eastAsia" w:ascii="仿宋_GB2312" w:hAnsi="仿宋_GB2312" w:eastAsia="仿宋_GB2312" w:cs="仿宋_GB2312"/>
                <w:color w:val="auto"/>
                <w:w w:val="85"/>
                <w:sz w:val="26"/>
                <w:szCs w:val="26"/>
                <w:u w:val="single"/>
                <w:lang w:val="en-US" w:eastAsia="zh-CN"/>
              </w:rPr>
              <w:t>10</w:t>
            </w:r>
            <w:r>
              <w:rPr>
                <w:rFonts w:hint="eastAsia" w:ascii="仿宋_GB2312" w:hAnsi="仿宋_GB2312" w:eastAsia="仿宋_GB2312" w:cs="仿宋_GB2312"/>
                <w:color w:val="auto"/>
                <w:w w:val="85"/>
                <w:sz w:val="26"/>
                <w:szCs w:val="26"/>
                <w:lang w:val="en-US" w:eastAsia="zh-CN"/>
              </w:rPr>
              <w:t>日公开采购意向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4"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val="en-US" w:eastAsia="zh-CN"/>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eastAsia="zh-CN"/>
              </w:rPr>
            </w:pPr>
          </w:p>
        </w:tc>
        <w:tc>
          <w:tcPr>
            <w:tcW w:w="7037" w:type="dxa"/>
            <w:noWrap w:val="0"/>
            <w:vAlign w:val="center"/>
          </w:tcPr>
          <w:p>
            <w:pPr>
              <w:adjustRightInd w:val="0"/>
              <w:snapToGrid w:val="0"/>
              <w:spacing w:line="240" w:lineRule="auto"/>
              <w:jc w:val="left"/>
              <w:rPr>
                <w:rFonts w:hint="eastAsia" w:ascii="仿宋_GB2312" w:hAnsi="仿宋_GB2312" w:eastAsia="仿宋_GB2312" w:cs="仿宋_GB2312"/>
                <w:color w:val="auto"/>
                <w:w w:val="85"/>
                <w:sz w:val="26"/>
                <w:szCs w:val="26"/>
                <w:lang w:eastAsia="zh-CN"/>
              </w:rPr>
            </w:pPr>
            <w:r>
              <w:rPr>
                <w:rFonts w:hint="eastAsia" w:ascii="仿宋_GB2312" w:hAnsi="仿宋_GB2312" w:eastAsia="仿宋_GB2312" w:cs="仿宋_GB2312"/>
                <w:color w:val="auto"/>
                <w:w w:val="85"/>
                <w:sz w:val="26"/>
                <w:szCs w:val="26"/>
              </w:rPr>
              <w:sym w:font="Wingdings 2" w:char="00A3"/>
            </w:r>
            <w:r>
              <w:rPr>
                <w:rFonts w:hint="eastAsia" w:ascii="仿宋_GB2312" w:hAnsi="仿宋_GB2312" w:eastAsia="仿宋_GB2312" w:cs="仿宋_GB2312"/>
                <w:color w:val="auto"/>
                <w:w w:val="85"/>
                <w:sz w:val="26"/>
                <w:szCs w:val="26"/>
                <w:lang w:eastAsia="zh-CN"/>
              </w:rPr>
              <w:t>本项目经立项审批不公开采购意向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2" w:hRule="atLeast"/>
          <w:jc w:val="center"/>
        </w:trPr>
        <w:tc>
          <w:tcPr>
            <w:tcW w:w="971" w:type="dxa"/>
            <w:vMerge w:val="restart"/>
            <w:noWrap w:val="0"/>
            <w:vAlign w:val="center"/>
          </w:tcPr>
          <w:p>
            <w:pPr>
              <w:adjustRightInd w:val="0"/>
              <w:snapToGrid w:val="0"/>
              <w:spacing w:line="240" w:lineRule="auto"/>
              <w:jc w:val="center"/>
              <w:rPr>
                <w:rFonts w:hint="default" w:ascii="仿宋_GB2312" w:hAnsi="仿宋_GB2312" w:eastAsia="仿宋_GB2312" w:cs="仿宋_GB2312"/>
                <w:color w:val="auto"/>
                <w:w w:val="85"/>
                <w:sz w:val="26"/>
                <w:szCs w:val="26"/>
                <w:lang w:val="en-US" w:eastAsia="zh-CN"/>
              </w:rPr>
            </w:pPr>
            <w:r>
              <w:rPr>
                <w:rFonts w:hint="eastAsia" w:ascii="仿宋_GB2312" w:hAnsi="仿宋_GB2312" w:eastAsia="仿宋_GB2312" w:cs="仿宋_GB2312"/>
                <w:color w:val="auto"/>
                <w:w w:val="85"/>
                <w:sz w:val="26"/>
                <w:szCs w:val="26"/>
                <w:lang w:val="en-US" w:eastAsia="zh-CN"/>
              </w:rPr>
              <w:t>10</w:t>
            </w:r>
          </w:p>
        </w:tc>
        <w:tc>
          <w:tcPr>
            <w:tcW w:w="2131" w:type="dxa"/>
            <w:vMerge w:val="restart"/>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eastAsia="zh-CN"/>
              </w:rPr>
            </w:pPr>
            <w:r>
              <w:rPr>
                <w:rFonts w:hint="eastAsia" w:ascii="仿宋_GB2312" w:hAnsi="仿宋_GB2312" w:eastAsia="仿宋_GB2312" w:cs="仿宋_GB2312"/>
                <w:color w:val="auto"/>
                <w:w w:val="85"/>
                <w:sz w:val="26"/>
                <w:szCs w:val="26"/>
                <w:lang w:eastAsia="zh-CN"/>
              </w:rPr>
              <w:t>支持中小企业</w:t>
            </w:r>
          </w:p>
        </w:tc>
        <w:tc>
          <w:tcPr>
            <w:tcW w:w="7037" w:type="dxa"/>
            <w:noWrap w:val="0"/>
            <w:vAlign w:val="center"/>
          </w:tcPr>
          <w:p>
            <w:pPr>
              <w:adjustRightInd w:val="0"/>
              <w:snapToGrid w:val="0"/>
              <w:spacing w:line="240" w:lineRule="auto"/>
              <w:rPr>
                <w:rFonts w:hint="eastAsia" w:ascii="仿宋_GB2312" w:hAnsi="仿宋_GB2312" w:eastAsia="仿宋_GB2312" w:cs="仿宋_GB2312"/>
                <w:color w:val="auto"/>
                <w:w w:val="85"/>
                <w:sz w:val="26"/>
                <w:szCs w:val="26"/>
                <w:lang w:eastAsia="zh-CN"/>
              </w:rPr>
            </w:pPr>
            <w:r>
              <w:rPr>
                <w:rFonts w:hint="eastAsia" w:ascii="仿宋_GB2312" w:hAnsi="仿宋_GB2312" w:eastAsia="仿宋_GB2312" w:cs="仿宋_GB2312"/>
                <w:color w:val="auto"/>
                <w:w w:val="85"/>
                <w:sz w:val="26"/>
                <w:szCs w:val="26"/>
              </w:rPr>
              <w:sym w:font="Wingdings 2" w:char="00A3"/>
            </w:r>
            <w:r>
              <w:rPr>
                <w:rFonts w:hint="eastAsia" w:ascii="仿宋_GB2312" w:hAnsi="仿宋_GB2312" w:eastAsia="仿宋_GB2312" w:cs="仿宋_GB2312"/>
                <w:color w:val="auto"/>
                <w:w w:val="85"/>
                <w:sz w:val="26"/>
                <w:szCs w:val="26"/>
                <w:lang w:eastAsia="zh-CN"/>
              </w:rPr>
              <w:t>本项目（第</w:t>
            </w:r>
            <w:r>
              <w:rPr>
                <w:rFonts w:hint="eastAsia" w:ascii="仿宋_GB2312" w:hAnsi="仿宋_GB2312" w:eastAsia="仿宋_GB2312" w:cs="仿宋_GB2312"/>
                <w:color w:val="auto"/>
                <w:w w:val="85"/>
                <w:sz w:val="26"/>
                <w:szCs w:val="26"/>
                <w:u w:val="single"/>
                <w:lang w:val="en-US" w:eastAsia="zh-CN"/>
              </w:rPr>
              <w:t>1</w:t>
            </w:r>
            <w:r>
              <w:rPr>
                <w:rFonts w:hint="eastAsia" w:ascii="仿宋_GB2312" w:hAnsi="仿宋_GB2312" w:eastAsia="仿宋_GB2312" w:cs="仿宋_GB2312"/>
                <w:color w:val="auto"/>
                <w:w w:val="85"/>
                <w:sz w:val="26"/>
                <w:szCs w:val="26"/>
                <w:lang w:eastAsia="zh-CN"/>
              </w:rPr>
              <w:t>包）专门面向中小企业采购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val="en-US" w:eastAsia="zh-CN"/>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eastAsia="zh-CN"/>
              </w:rPr>
            </w:pPr>
          </w:p>
        </w:tc>
        <w:tc>
          <w:tcPr>
            <w:tcW w:w="7037" w:type="dxa"/>
            <w:noWrap w:val="0"/>
            <w:vAlign w:val="center"/>
          </w:tcPr>
          <w:p>
            <w:pPr>
              <w:adjustRightInd w:val="0"/>
              <w:snapToGrid w:val="0"/>
              <w:spacing w:line="240" w:lineRule="auto"/>
              <w:rPr>
                <w:rFonts w:hint="eastAsia" w:ascii="仿宋_GB2312" w:hAnsi="仿宋_GB2312" w:eastAsia="仿宋_GB2312" w:cs="仿宋_GB2312"/>
                <w:b w:val="0"/>
                <w:bCs w:val="0"/>
                <w:color w:val="auto"/>
                <w:w w:val="85"/>
                <w:sz w:val="26"/>
                <w:szCs w:val="26"/>
              </w:rPr>
            </w:pPr>
            <w:r>
              <w:rPr>
                <w:rFonts w:hint="eastAsia" w:ascii="仿宋_GB2312" w:hAnsi="仿宋_GB2312" w:eastAsia="仿宋_GB2312" w:cs="仿宋_GB2312"/>
                <w:color w:val="auto"/>
                <w:w w:val="85"/>
                <w:sz w:val="26"/>
                <w:szCs w:val="26"/>
              </w:rPr>
              <w:sym w:font="Wingdings 2" w:char="00A3"/>
            </w:r>
            <w:r>
              <w:rPr>
                <w:rFonts w:hint="eastAsia" w:ascii="仿宋_GB2312" w:hAnsi="仿宋_GB2312" w:eastAsia="仿宋_GB2312" w:cs="仿宋_GB2312"/>
                <w:color w:val="auto"/>
                <w:w w:val="85"/>
                <w:sz w:val="26"/>
                <w:szCs w:val="26"/>
                <w:lang w:eastAsia="zh-CN"/>
              </w:rPr>
              <w:t>本项目预留预算金额的</w:t>
            </w:r>
            <w:r>
              <w:rPr>
                <w:rFonts w:hint="eastAsia" w:ascii="仿宋_GB2312" w:hAnsi="仿宋_GB2312" w:eastAsia="仿宋_GB2312" w:cs="仿宋_GB2312"/>
                <w:color w:val="auto"/>
                <w:w w:val="85"/>
                <w:sz w:val="26"/>
                <w:szCs w:val="26"/>
                <w:lang w:val="en-US" w:eastAsia="zh-CN"/>
              </w:rPr>
              <w:t xml:space="preserve"> %</w:t>
            </w:r>
            <w:r>
              <w:rPr>
                <w:rFonts w:hint="eastAsia" w:ascii="仿宋_GB2312" w:hAnsi="仿宋_GB2312" w:eastAsia="仿宋_GB2312" w:cs="仿宋_GB2312"/>
                <w:color w:val="auto"/>
                <w:w w:val="85"/>
                <w:sz w:val="26"/>
                <w:szCs w:val="26"/>
                <w:u w:val="none"/>
                <w:lang w:val="en-US" w:eastAsia="zh-CN"/>
              </w:rPr>
              <w:t>专门面向中小企业采购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971" w:type="dxa"/>
            <w:vMerge w:val="continue"/>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val="en-US" w:eastAsia="zh-CN"/>
              </w:rPr>
            </w:pPr>
          </w:p>
        </w:tc>
        <w:tc>
          <w:tcPr>
            <w:tcW w:w="2131" w:type="dxa"/>
            <w:vMerge w:val="continue"/>
            <w:noWrap w:val="0"/>
            <w:vAlign w:val="center"/>
          </w:tcPr>
          <w:p>
            <w:pPr>
              <w:adjustRightInd w:val="0"/>
              <w:snapToGrid w:val="0"/>
              <w:spacing w:line="240" w:lineRule="auto"/>
              <w:jc w:val="center"/>
              <w:rPr>
                <w:rFonts w:hint="eastAsia" w:ascii="仿宋_GB2312" w:hAnsi="仿宋_GB2312" w:eastAsia="仿宋_GB2312" w:cs="仿宋_GB2312"/>
                <w:color w:val="auto"/>
                <w:w w:val="85"/>
                <w:sz w:val="26"/>
                <w:szCs w:val="26"/>
                <w:lang w:eastAsia="zh-CN"/>
              </w:rPr>
            </w:pPr>
          </w:p>
        </w:tc>
        <w:tc>
          <w:tcPr>
            <w:tcW w:w="7037" w:type="dxa"/>
            <w:noWrap w:val="0"/>
            <w:vAlign w:val="center"/>
          </w:tcPr>
          <w:p>
            <w:pPr>
              <w:adjustRightInd w:val="0"/>
              <w:snapToGrid w:val="0"/>
              <w:spacing w:line="240" w:lineRule="auto"/>
              <w:rPr>
                <w:rFonts w:hint="eastAsia" w:ascii="仿宋_GB2312" w:hAnsi="仿宋_GB2312" w:eastAsia="仿宋_GB2312" w:cs="仿宋_GB2312"/>
                <w:color w:val="auto"/>
                <w:w w:val="85"/>
                <w:sz w:val="26"/>
                <w:szCs w:val="26"/>
                <w:lang w:eastAsia="zh-CN"/>
              </w:rPr>
            </w:pPr>
            <w:r>
              <w:rPr>
                <w:rFonts w:hint="eastAsia" w:ascii="仿宋_GB2312" w:hAnsi="仿宋_GB2312" w:eastAsia="仿宋_GB2312" w:cs="仿宋_GB2312"/>
                <w:color w:val="auto"/>
                <w:w w:val="85"/>
                <w:sz w:val="26"/>
                <w:szCs w:val="26"/>
              </w:rPr>
              <w:sym w:font="Wingdings 2" w:char="0052"/>
            </w:r>
            <w:r>
              <w:rPr>
                <w:rFonts w:hint="eastAsia" w:ascii="仿宋_GB2312" w:hAnsi="仿宋_GB2312" w:eastAsia="仿宋_GB2312" w:cs="仿宋_GB2312"/>
                <w:color w:val="auto"/>
                <w:w w:val="85"/>
                <w:sz w:val="26"/>
                <w:szCs w:val="26"/>
                <w:lang w:eastAsia="zh-CN"/>
              </w:rPr>
              <w:t>本项目不适宜由中小企业提供，且已履行报批手续。</w:t>
            </w:r>
          </w:p>
        </w:tc>
      </w:tr>
    </w:tbl>
    <w:p>
      <w:pPr>
        <w:adjustRightInd w:val="0"/>
        <w:snapToGrid w:val="0"/>
        <w:spacing w:line="400" w:lineRule="exact"/>
        <w:rPr>
          <w:rFonts w:hint="default" w:ascii="仿宋_GB2312" w:hAnsi="仿宋_GB2312" w:eastAsia="仿宋_GB2312" w:cs="仿宋_GB2312"/>
          <w:color w:val="auto"/>
          <w:w w:val="80"/>
          <w:sz w:val="28"/>
          <w:szCs w:val="28"/>
          <w:lang w:val="en-US" w:eastAsia="zh-CN"/>
        </w:rPr>
      </w:pPr>
      <w:r>
        <w:rPr>
          <w:rFonts w:hint="eastAsia" w:ascii="仿宋_GB2312" w:hAnsi="仿宋_GB2312" w:eastAsia="仿宋_GB2312" w:cs="仿宋_GB2312"/>
          <w:color w:val="auto"/>
          <w:w w:val="85"/>
          <w:sz w:val="28"/>
          <w:szCs w:val="28"/>
          <w:lang w:eastAsia="zh-CN"/>
        </w:rPr>
        <w:t xml:space="preserve">项目联系人：赵永强    </w:t>
      </w:r>
      <w:r>
        <w:rPr>
          <w:rFonts w:hint="eastAsia" w:ascii="仿宋_GB2312" w:hAnsi="仿宋_GB2312" w:eastAsia="仿宋_GB2312" w:cs="仿宋_GB2312"/>
          <w:color w:val="auto"/>
          <w:w w:val="85"/>
          <w:sz w:val="28"/>
          <w:szCs w:val="28"/>
          <w:lang w:val="en-US" w:eastAsia="zh-CN"/>
        </w:rPr>
        <w:t xml:space="preserve">             </w:t>
      </w:r>
      <w:r>
        <w:rPr>
          <w:rFonts w:hint="eastAsia" w:ascii="仿宋_GB2312" w:hAnsi="仿宋_GB2312" w:eastAsia="仿宋_GB2312" w:cs="仿宋_GB2312"/>
          <w:color w:val="auto"/>
          <w:w w:val="85"/>
          <w:sz w:val="28"/>
          <w:szCs w:val="28"/>
          <w:lang w:eastAsia="zh-CN"/>
        </w:rPr>
        <w:t>联系人办公电话和手机：</w:t>
      </w:r>
      <w:r>
        <w:rPr>
          <w:rFonts w:hint="eastAsia" w:ascii="仿宋_GB2312" w:hAnsi="仿宋_GB2312" w:eastAsia="仿宋_GB2312" w:cs="仿宋_GB2312"/>
          <w:color w:val="auto"/>
          <w:w w:val="85"/>
          <w:sz w:val="28"/>
          <w:szCs w:val="28"/>
          <w:lang w:val="en-US" w:eastAsia="zh-CN"/>
        </w:rPr>
        <w:t>0954-2032850</w:t>
      </w:r>
    </w:p>
    <w:p>
      <w:pPr>
        <w:snapToGrid w:val="0"/>
        <w:spacing w:line="620" w:lineRule="exact"/>
        <w:jc w:val="center"/>
        <w:rPr>
          <w:rFonts w:hint="eastAsia" w:ascii="华文中宋" w:hAnsi="华文中宋" w:eastAsia="华文中宋" w:cs="华文中宋"/>
          <w:snapToGrid w:val="0"/>
          <w:color w:val="auto"/>
          <w:kern w:val="0"/>
          <w:sz w:val="44"/>
          <w:szCs w:val="44"/>
          <w:highlight w:val="none"/>
          <w:u w:val="single"/>
        </w:rPr>
        <w:sectPr>
          <w:pgSz w:w="11906" w:h="16838"/>
          <w:pgMar w:top="1984" w:right="1417" w:bottom="1701" w:left="1587" w:header="851" w:footer="992" w:gutter="0"/>
          <w:cols w:space="425" w:num="1"/>
          <w:docGrid w:type="lines" w:linePitch="312" w:charSpace="0"/>
        </w:sectPr>
      </w:pPr>
    </w:p>
    <w:p>
      <w:pPr>
        <w:snapToGrid w:val="0"/>
        <w:spacing w:line="620" w:lineRule="exact"/>
        <w:jc w:val="center"/>
        <w:rPr>
          <w:rFonts w:hint="eastAsia" w:ascii="华文中宋" w:hAnsi="华文中宋" w:eastAsia="华文中宋" w:cs="华文中宋"/>
          <w:snapToGrid w:val="0"/>
          <w:color w:val="auto"/>
          <w:kern w:val="0"/>
          <w:sz w:val="44"/>
          <w:szCs w:val="44"/>
          <w:highlight w:val="none"/>
          <w:u w:val="single"/>
        </w:rPr>
      </w:pPr>
      <w:r>
        <w:rPr>
          <w:rFonts w:hint="eastAsia" w:ascii="华文中宋" w:hAnsi="华文中宋" w:eastAsia="华文中宋" w:cs="华文中宋"/>
          <w:snapToGrid w:val="0"/>
          <w:color w:val="auto"/>
          <w:kern w:val="0"/>
          <w:sz w:val="44"/>
          <w:szCs w:val="44"/>
          <w:highlight w:val="none"/>
          <w:u w:val="single"/>
        </w:rPr>
        <w:t>固原税务2025年机房设施设备和网络线路</w:t>
      </w:r>
    </w:p>
    <w:p>
      <w:pPr>
        <w:snapToGrid w:val="0"/>
        <w:spacing w:line="620" w:lineRule="exact"/>
        <w:jc w:val="center"/>
        <w:rPr>
          <w:rFonts w:hint="eastAsia" w:ascii="华文中宋" w:hAnsi="华文中宋" w:eastAsia="华文中宋" w:cs="华文中宋"/>
          <w:snapToGrid w:val="0"/>
          <w:color w:val="auto"/>
          <w:kern w:val="0"/>
          <w:sz w:val="44"/>
          <w:szCs w:val="44"/>
          <w:highlight w:val="none"/>
        </w:rPr>
      </w:pPr>
      <w:r>
        <w:rPr>
          <w:rFonts w:hint="eastAsia" w:ascii="华文中宋" w:hAnsi="华文中宋" w:eastAsia="华文中宋" w:cs="华文中宋"/>
          <w:snapToGrid w:val="0"/>
          <w:color w:val="auto"/>
          <w:kern w:val="0"/>
          <w:sz w:val="44"/>
          <w:szCs w:val="44"/>
          <w:highlight w:val="none"/>
          <w:u w:val="single"/>
        </w:rPr>
        <w:t>更新及改造项目</w:t>
      </w:r>
      <w:r>
        <w:rPr>
          <w:rFonts w:hint="eastAsia" w:ascii="华文中宋" w:hAnsi="华文中宋" w:eastAsia="华文中宋" w:cs="华文中宋"/>
          <w:snapToGrid w:val="0"/>
          <w:color w:val="auto"/>
          <w:kern w:val="0"/>
          <w:sz w:val="44"/>
          <w:szCs w:val="44"/>
          <w:highlight w:val="none"/>
        </w:rPr>
        <w:t>采购需求</w:t>
      </w:r>
    </w:p>
    <w:p>
      <w:pPr>
        <w:pStyle w:val="10"/>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color w:val="auto"/>
          <w:sz w:val="32"/>
          <w:szCs w:val="32"/>
          <w:highlight w:val="none"/>
          <w:lang w:val="en-US" w:eastAsia="zh-CN"/>
        </w:rPr>
      </w:pPr>
      <w:r>
        <w:rPr>
          <w:rFonts w:hint="eastAsia" w:ascii="黑体" w:hAnsi="黑体" w:eastAsia="黑体" w:cs="黑体"/>
          <w:color w:val="auto"/>
          <w:sz w:val="32"/>
          <w:szCs w:val="32"/>
          <w:highlight w:val="none"/>
          <w:lang w:val="en-US" w:eastAsia="zh-CN"/>
        </w:rPr>
        <w:t>1.项目概述</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 w:hAnsi="楷体" w:eastAsia="楷体" w:cs="楷体"/>
          <w:color w:val="auto"/>
          <w:sz w:val="32"/>
          <w:szCs w:val="32"/>
          <w:highlight w:val="none"/>
          <w:lang w:val="en-US" w:eastAsia="zh-CN"/>
        </w:rPr>
      </w:pPr>
      <w:r>
        <w:rPr>
          <w:rFonts w:hint="eastAsia" w:ascii="楷体" w:hAnsi="楷体" w:eastAsia="楷体" w:cs="楷体"/>
          <w:color w:val="auto"/>
          <w:sz w:val="32"/>
          <w:szCs w:val="32"/>
          <w:highlight w:val="none"/>
          <w:lang w:val="en-US" w:eastAsia="zh-CN"/>
        </w:rPr>
        <w:t>1.1.项目背景</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Times New Roman"/>
          <w:i/>
          <w:iCs/>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rPr>
        <w:t>根据《关于进一步深化税收征管改革的意见》和推进“金税”四期工程实施需要，结合固原市税务局中心机房与原州区税务局机房同设共用、独立运行，现有硬件设施、供配电系统、制冷系统、安防系统等承载能力较弱，已无法满足金税四期和“数电”发票系统工作运行要求实际，为提高信息系统基础设施安全、可靠运行水平，满足“数电”发票平台运行需要，强化对全市税收征管改革的信息支撑保障作用，提升信息化建设水平，贯彻落实宁夏区税务局机房标准化改造工作要求</w:t>
      </w:r>
      <w:r>
        <w:rPr>
          <w:rFonts w:hint="eastAsia" w:ascii="仿宋_GB2312" w:hAnsi="仿宋_GB2312" w:eastAsia="仿宋_GB2312" w:cs="仿宋_GB2312"/>
          <w:i w:val="0"/>
          <w:iCs w:val="0"/>
          <w:snapToGrid w:val="0"/>
          <w:color w:val="auto"/>
          <w:kern w:val="0"/>
          <w:sz w:val="32"/>
          <w:szCs w:val="32"/>
          <w:highlight w:val="none"/>
          <w:lang w:eastAsia="zh-CN"/>
        </w:rPr>
        <w:t>，计划开展固原市税务局机房设施设备和网络线路更新改造项目。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 w:hAnsi="楷体" w:eastAsia="楷体" w:cs="楷体"/>
          <w:color w:val="auto"/>
          <w:sz w:val="32"/>
          <w:szCs w:val="32"/>
          <w:highlight w:val="none"/>
          <w:lang w:val="en-US" w:eastAsia="zh-CN"/>
        </w:rPr>
      </w:pPr>
      <w:r>
        <w:rPr>
          <w:rFonts w:hint="eastAsia" w:ascii="楷体" w:hAnsi="楷体" w:eastAsia="楷体" w:cs="楷体"/>
          <w:color w:val="auto"/>
          <w:sz w:val="32"/>
          <w:szCs w:val="32"/>
          <w:highlight w:val="none"/>
          <w:lang w:val="en-US" w:eastAsia="zh-CN"/>
        </w:rPr>
        <w:t>1.2.项目内容</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项目建设目标：全市系统信息化基础设施建设水平大幅度提升，建成风格统一、规范达标、全面监控、便于管理的信息化机房，机房设备和各类税收信息系统运行环境得到极大改善，有效提升网络信息安全水平。网络布线合理规范，网络传输更加高效，网络可靠性得到进一步提高，同时兼容IPv6，能够满足金税四期千兆传输需求。无线网络安全性大大加强，确保无线网络访问互联网安全可控。</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建设内容：固原市税务局办公楼四楼中心机房(与原州区税务局共用）标准化建设；办公大楼一至六楼网络综合布线全光网络升级改造；办公大楼一至六楼整体内、外网络规范化升级改造（不含东西大厅）；办公大楼一至六楼的互联网无线Wi</w:t>
      </w:r>
      <w:r>
        <w:rPr>
          <w:rFonts w:hint="eastAsia" w:ascii="仿宋_GB2312" w:hAnsi="仿宋_GB2312" w:eastAsia="仿宋_GB2312" w:cs="仿宋_GB2312"/>
          <w:i w:val="0"/>
          <w:iCs w:val="0"/>
          <w:snapToGrid w:val="0"/>
          <w:color w:val="auto"/>
          <w:kern w:val="0"/>
          <w:sz w:val="32"/>
          <w:szCs w:val="32"/>
          <w:highlight w:val="none"/>
          <w:lang w:val="en-US" w:eastAsia="zh-CN"/>
        </w:rPr>
        <w:t>F</w:t>
      </w:r>
      <w:r>
        <w:rPr>
          <w:rFonts w:hint="eastAsia" w:ascii="仿宋_GB2312" w:hAnsi="仿宋_GB2312" w:eastAsia="仿宋_GB2312" w:cs="仿宋_GB2312"/>
          <w:i w:val="0"/>
          <w:iCs w:val="0"/>
          <w:snapToGrid w:val="0"/>
          <w:color w:val="auto"/>
          <w:kern w:val="0"/>
          <w:sz w:val="32"/>
          <w:szCs w:val="32"/>
          <w:highlight w:val="none"/>
          <w:lang w:eastAsia="zh-CN"/>
        </w:rPr>
        <w:t>i升级改造；办公大楼一至六楼通讯系统升级改造（含东西大厅）；内、外网络设备配置和集成，确保信息化基础设施规范、可用、安全、高效。</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建设原则及</w:t>
      </w:r>
      <w:r>
        <w:rPr>
          <w:rFonts w:hint="eastAsia" w:ascii="仿宋_GB2312" w:hAnsi="仿宋_GB2312" w:eastAsia="仿宋_GB2312" w:cs="仿宋_GB2312"/>
          <w:i w:val="0"/>
          <w:iCs w:val="0"/>
          <w:snapToGrid w:val="0"/>
          <w:color w:val="auto"/>
          <w:kern w:val="0"/>
          <w:sz w:val="32"/>
          <w:szCs w:val="32"/>
          <w:highlight w:val="none"/>
        </w:rPr>
        <w:t>需执行的相关标准规范</w:t>
      </w:r>
      <w:r>
        <w:rPr>
          <w:rFonts w:hint="eastAsia" w:ascii="仿宋_GB2312" w:hAnsi="仿宋_GB2312" w:eastAsia="仿宋_GB2312" w:cs="仿宋_GB2312"/>
          <w:i w:val="0"/>
          <w:iCs w:val="0"/>
          <w:snapToGrid w:val="0"/>
          <w:color w:val="auto"/>
          <w:kern w:val="0"/>
          <w:sz w:val="32"/>
          <w:szCs w:val="32"/>
          <w:highlight w:val="none"/>
          <w:lang w:eastAsia="zh-CN"/>
        </w:rPr>
        <w:t>：项目需以可靠性、安全性、先进性、实用性、扩展性、经济性、节能性为原则，按照</w:t>
      </w:r>
      <w:r>
        <w:rPr>
          <w:rFonts w:hint="eastAsia" w:ascii="仿宋_GB2312" w:hAnsi="仿宋_GB2312" w:eastAsia="仿宋_GB2312" w:cs="仿宋_GB2312"/>
          <w:b w:val="0"/>
          <w:bCs w:val="0"/>
          <w:i w:val="0"/>
          <w:iCs w:val="0"/>
          <w:snapToGrid w:val="0"/>
          <w:color w:val="auto"/>
          <w:kern w:val="0"/>
          <w:sz w:val="32"/>
          <w:szCs w:val="32"/>
          <w:highlight w:val="none"/>
          <w:lang w:eastAsia="zh-CN"/>
        </w:rPr>
        <w:t>《税务系统地市级计算机机房建设技术规范（试行）》、《电子信息系统机房设计规范》B级要求</w:t>
      </w:r>
      <w:r>
        <w:rPr>
          <w:rFonts w:hint="eastAsia" w:ascii="仿宋_GB2312" w:hAnsi="仿宋_GB2312" w:eastAsia="仿宋_GB2312" w:cs="仿宋_GB2312"/>
          <w:i w:val="0"/>
          <w:iCs w:val="0"/>
          <w:snapToGrid w:val="0"/>
          <w:color w:val="auto"/>
          <w:kern w:val="0"/>
          <w:sz w:val="32"/>
          <w:szCs w:val="32"/>
          <w:highlight w:val="none"/>
          <w:lang w:eastAsia="zh-CN"/>
        </w:rPr>
        <w:t>建设。</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楷体" w:hAnsi="楷体" w:eastAsia="楷体" w:cs="楷体"/>
          <w:color w:val="auto"/>
          <w:sz w:val="32"/>
          <w:szCs w:val="32"/>
          <w:highlight w:val="none"/>
          <w:lang w:val="en-US" w:eastAsia="zh-CN"/>
        </w:rPr>
      </w:pPr>
      <w:r>
        <w:rPr>
          <w:rFonts w:hint="eastAsia" w:ascii="楷体" w:hAnsi="楷体" w:eastAsia="楷体" w:cs="楷体"/>
          <w:color w:val="auto"/>
          <w:sz w:val="32"/>
          <w:szCs w:val="32"/>
          <w:highlight w:val="none"/>
          <w:lang w:val="en-US" w:eastAsia="zh-CN"/>
        </w:rPr>
        <w:t>1.3.预算情况</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default" w:ascii="仿宋_GB2312" w:hAnsi="仿宋_GB2312" w:eastAsia="仿宋_GB2312" w:cs="仿宋_GB2312"/>
          <w:i w:val="0"/>
          <w:iCs w:val="0"/>
          <w:snapToGrid w:val="0"/>
          <w:color w:val="auto"/>
          <w:kern w:val="0"/>
          <w:sz w:val="32"/>
          <w:szCs w:val="32"/>
          <w:highlight w:val="none"/>
          <w:lang w:val="en-US" w:eastAsia="zh-CN"/>
        </w:rPr>
      </w:pPr>
      <w:r>
        <w:rPr>
          <w:rFonts w:hint="eastAsia" w:ascii="仿宋_GB2312" w:hAnsi="仿宋_GB2312" w:eastAsia="仿宋_GB2312" w:cs="仿宋_GB2312"/>
          <w:i w:val="0"/>
          <w:iCs w:val="0"/>
          <w:snapToGrid w:val="0"/>
          <w:color w:val="auto"/>
          <w:kern w:val="0"/>
          <w:sz w:val="32"/>
          <w:szCs w:val="32"/>
          <w:highlight w:val="none"/>
          <w:lang w:val="en-US" w:eastAsia="zh-CN"/>
        </w:rPr>
        <w:t>本次采购项目总预算金额为187万元，结合市局、原州区局机房共用及办公网络处于同一局域实际，项目建设费用由市局和原州区局共同承担，市局分担费用约89万元，原州区局分担费用约98万元。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auto"/>
          <w:sz w:val="32"/>
          <w:szCs w:val="32"/>
          <w:highlight w:val="none"/>
          <w:lang w:val="en-US" w:eastAsia="zh-CN"/>
        </w:rPr>
      </w:pPr>
      <w:bookmarkStart w:id="0" w:name="投标响应要求_Block"/>
      <w:r>
        <w:rPr>
          <w:rFonts w:hint="eastAsia" w:ascii="黑体" w:hAnsi="黑体" w:eastAsia="黑体" w:cs="黑体"/>
          <w:color w:val="auto"/>
          <w:sz w:val="32"/>
          <w:szCs w:val="32"/>
          <w:highlight w:val="none"/>
          <w:lang w:val="en-US" w:eastAsia="zh-CN"/>
        </w:rPr>
        <w:t>2.投标</w:t>
      </w:r>
      <w:r>
        <w:rPr>
          <w:rFonts w:hint="eastAsia" w:ascii="黑体" w:hAnsi="黑体" w:eastAsia="黑体" w:cs="黑体"/>
          <w:color w:val="auto"/>
          <w:sz w:val="32"/>
          <w:szCs w:val="32"/>
          <w:highlight w:val="none"/>
          <w:lang w:val="en" w:eastAsia="zh-CN"/>
        </w:rPr>
        <w:t>/</w:t>
      </w:r>
      <w:r>
        <w:rPr>
          <w:rFonts w:hint="eastAsia" w:ascii="黑体" w:hAnsi="黑体" w:eastAsia="黑体" w:cs="黑体"/>
          <w:color w:val="auto"/>
          <w:sz w:val="32"/>
          <w:szCs w:val="32"/>
          <w:highlight w:val="none"/>
          <w:lang w:val="en-US" w:eastAsia="zh-CN"/>
        </w:rPr>
        <w:t>响应要求</w:t>
      </w:r>
      <w:bookmarkEnd w:id="0"/>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供应商资质要求：</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rPr>
      </w:pPr>
      <w:r>
        <w:rPr>
          <w:rFonts w:hint="eastAsia" w:ascii="仿宋_GB2312" w:hAnsi="仿宋_GB2312" w:eastAsia="仿宋_GB2312" w:cs="仿宋_GB2312"/>
          <w:i w:val="0"/>
          <w:iCs w:val="0"/>
          <w:snapToGrid w:val="0"/>
          <w:color w:val="auto"/>
          <w:kern w:val="0"/>
          <w:sz w:val="32"/>
          <w:szCs w:val="32"/>
          <w:highlight w:val="none"/>
          <w:lang w:eastAsia="zh-CN"/>
        </w:rPr>
        <w:t>（</w:t>
      </w:r>
      <w:r>
        <w:rPr>
          <w:rFonts w:hint="eastAsia" w:ascii="仿宋_GB2312" w:hAnsi="仿宋_GB2312" w:eastAsia="仿宋_GB2312" w:cs="仿宋_GB2312"/>
          <w:i w:val="0"/>
          <w:iCs w:val="0"/>
          <w:snapToGrid w:val="0"/>
          <w:color w:val="auto"/>
          <w:kern w:val="0"/>
          <w:sz w:val="32"/>
          <w:szCs w:val="32"/>
          <w:highlight w:val="none"/>
          <w:lang w:val="en-US" w:eastAsia="zh-CN"/>
        </w:rPr>
        <w:t>1</w:t>
      </w:r>
      <w:r>
        <w:rPr>
          <w:rFonts w:hint="eastAsia" w:ascii="仿宋_GB2312" w:hAnsi="仿宋_GB2312" w:eastAsia="仿宋_GB2312" w:cs="仿宋_GB2312"/>
          <w:i w:val="0"/>
          <w:iCs w:val="0"/>
          <w:snapToGrid w:val="0"/>
          <w:color w:val="auto"/>
          <w:kern w:val="0"/>
          <w:sz w:val="32"/>
          <w:szCs w:val="32"/>
          <w:highlight w:val="none"/>
          <w:lang w:eastAsia="zh-CN"/>
        </w:rPr>
        <w:t>）具备《中华人民共和国政府采购法》第二十一条、第二十二条规定的条件，具体为：</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rPr>
      </w:pPr>
      <w:r>
        <w:rPr>
          <w:rFonts w:hint="eastAsia" w:ascii="仿宋_GB2312" w:hAnsi="仿宋_GB2312" w:eastAsia="仿宋_GB2312" w:cs="仿宋_GB2312"/>
          <w:i w:val="0"/>
          <w:iCs w:val="0"/>
          <w:snapToGrid w:val="0"/>
          <w:color w:val="auto"/>
          <w:kern w:val="0"/>
          <w:sz w:val="32"/>
          <w:szCs w:val="32"/>
          <w:highlight w:val="none"/>
          <w:lang w:val="en-US" w:eastAsia="zh-CN"/>
        </w:rPr>
        <w:t>①</w:t>
      </w:r>
      <w:r>
        <w:rPr>
          <w:rFonts w:hint="eastAsia" w:ascii="仿宋_GB2312" w:hAnsi="仿宋_GB2312" w:eastAsia="仿宋_GB2312" w:cs="仿宋_GB2312"/>
          <w:i w:val="0"/>
          <w:iCs w:val="0"/>
          <w:snapToGrid w:val="0"/>
          <w:color w:val="auto"/>
          <w:kern w:val="0"/>
          <w:sz w:val="32"/>
          <w:szCs w:val="32"/>
          <w:highlight w:val="none"/>
        </w:rPr>
        <w:t>具有独立承担民事责任的能力；</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rPr>
      </w:pPr>
      <w:r>
        <w:rPr>
          <w:rFonts w:hint="eastAsia" w:ascii="仿宋_GB2312" w:hAnsi="仿宋_GB2312" w:eastAsia="仿宋_GB2312" w:cs="仿宋_GB2312"/>
          <w:i w:val="0"/>
          <w:iCs w:val="0"/>
          <w:snapToGrid w:val="0"/>
          <w:color w:val="auto"/>
          <w:kern w:val="0"/>
          <w:sz w:val="32"/>
          <w:szCs w:val="32"/>
          <w:highlight w:val="none"/>
          <w:lang w:val="en-US" w:eastAsia="zh-CN"/>
        </w:rPr>
        <w:t>②</w:t>
      </w:r>
      <w:r>
        <w:rPr>
          <w:rFonts w:hint="eastAsia" w:ascii="仿宋_GB2312" w:hAnsi="仿宋_GB2312" w:eastAsia="仿宋_GB2312" w:cs="仿宋_GB2312"/>
          <w:i w:val="0"/>
          <w:iCs w:val="0"/>
          <w:snapToGrid w:val="0"/>
          <w:color w:val="auto"/>
          <w:kern w:val="0"/>
          <w:sz w:val="32"/>
          <w:szCs w:val="32"/>
          <w:highlight w:val="none"/>
        </w:rPr>
        <w:t>具有良好的商业信誉和健全的财务会计制度；</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rPr>
      </w:pPr>
      <w:r>
        <w:rPr>
          <w:rFonts w:hint="eastAsia" w:ascii="仿宋_GB2312" w:hAnsi="仿宋_GB2312" w:eastAsia="仿宋_GB2312" w:cs="仿宋_GB2312"/>
          <w:i w:val="0"/>
          <w:iCs w:val="0"/>
          <w:snapToGrid w:val="0"/>
          <w:color w:val="auto"/>
          <w:kern w:val="0"/>
          <w:sz w:val="32"/>
          <w:szCs w:val="32"/>
          <w:highlight w:val="none"/>
          <w:lang w:val="en-US" w:eastAsia="zh-CN"/>
        </w:rPr>
        <w:t>③</w:t>
      </w:r>
      <w:r>
        <w:rPr>
          <w:rFonts w:hint="eastAsia" w:ascii="仿宋_GB2312" w:hAnsi="仿宋_GB2312" w:eastAsia="仿宋_GB2312" w:cs="仿宋_GB2312"/>
          <w:i w:val="0"/>
          <w:iCs w:val="0"/>
          <w:snapToGrid w:val="0"/>
          <w:color w:val="auto"/>
          <w:kern w:val="0"/>
          <w:sz w:val="32"/>
          <w:szCs w:val="32"/>
          <w:highlight w:val="none"/>
        </w:rPr>
        <w:t>具有履行合同所必需的设备和专业技术能力；</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rPr>
      </w:pPr>
      <w:r>
        <w:rPr>
          <w:rFonts w:hint="eastAsia" w:ascii="仿宋_GB2312" w:hAnsi="仿宋_GB2312" w:eastAsia="仿宋_GB2312" w:cs="仿宋_GB2312"/>
          <w:i w:val="0"/>
          <w:iCs w:val="0"/>
          <w:snapToGrid w:val="0"/>
          <w:color w:val="auto"/>
          <w:kern w:val="0"/>
          <w:sz w:val="32"/>
          <w:szCs w:val="32"/>
          <w:highlight w:val="none"/>
          <w:lang w:val="en-US" w:eastAsia="zh-CN"/>
        </w:rPr>
        <w:t>④</w:t>
      </w:r>
      <w:r>
        <w:rPr>
          <w:rFonts w:hint="eastAsia" w:ascii="仿宋_GB2312" w:hAnsi="仿宋_GB2312" w:eastAsia="仿宋_GB2312" w:cs="仿宋_GB2312"/>
          <w:i w:val="0"/>
          <w:iCs w:val="0"/>
          <w:snapToGrid w:val="0"/>
          <w:color w:val="auto"/>
          <w:kern w:val="0"/>
          <w:sz w:val="32"/>
          <w:szCs w:val="32"/>
          <w:highlight w:val="none"/>
        </w:rPr>
        <w:t>有依法缴纳税收和社会保障资金的良好记录；</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rPr>
      </w:pPr>
      <w:r>
        <w:rPr>
          <w:rFonts w:hint="eastAsia" w:ascii="仿宋_GB2312" w:hAnsi="仿宋_GB2312" w:eastAsia="仿宋_GB2312" w:cs="仿宋_GB2312"/>
          <w:i w:val="0"/>
          <w:iCs w:val="0"/>
          <w:snapToGrid w:val="0"/>
          <w:color w:val="auto"/>
          <w:kern w:val="0"/>
          <w:sz w:val="32"/>
          <w:szCs w:val="32"/>
          <w:highlight w:val="none"/>
          <w:lang w:val="en-US" w:eastAsia="zh-CN"/>
        </w:rPr>
        <w:t>⑤</w:t>
      </w:r>
      <w:r>
        <w:rPr>
          <w:rFonts w:hint="eastAsia" w:ascii="仿宋_GB2312" w:hAnsi="仿宋_GB2312" w:eastAsia="仿宋_GB2312" w:cs="仿宋_GB2312"/>
          <w:i w:val="0"/>
          <w:iCs w:val="0"/>
          <w:snapToGrid w:val="0"/>
          <w:color w:val="auto"/>
          <w:kern w:val="0"/>
          <w:sz w:val="32"/>
          <w:szCs w:val="32"/>
          <w:highlight w:val="none"/>
        </w:rPr>
        <w:t>参加政府采购活动前三年内在经营活动中没有重大违法记录；</w:t>
      </w:r>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rPr>
      </w:pPr>
      <w:r>
        <w:rPr>
          <w:rFonts w:hint="eastAsia" w:ascii="仿宋_GB2312" w:hAnsi="仿宋_GB2312" w:eastAsia="仿宋_GB2312" w:cs="仿宋_GB2312"/>
          <w:i w:val="0"/>
          <w:iCs w:val="0"/>
          <w:snapToGrid w:val="0"/>
          <w:color w:val="auto"/>
          <w:kern w:val="0"/>
          <w:sz w:val="32"/>
          <w:szCs w:val="32"/>
          <w:highlight w:val="none"/>
          <w:lang w:val="en-US" w:eastAsia="zh-CN"/>
        </w:rPr>
        <w:t>⑥</w:t>
      </w:r>
      <w:r>
        <w:rPr>
          <w:rFonts w:hint="eastAsia" w:ascii="仿宋_GB2312" w:hAnsi="仿宋_GB2312" w:eastAsia="仿宋_GB2312" w:cs="仿宋_GB2312"/>
          <w:i w:val="0"/>
          <w:iCs w:val="0"/>
          <w:snapToGrid w:val="0"/>
          <w:color w:val="auto"/>
          <w:kern w:val="0"/>
          <w:sz w:val="32"/>
          <w:szCs w:val="32"/>
          <w:highlight w:val="none"/>
        </w:rPr>
        <w:t>法律、行政法规规定的其他条件；</w:t>
      </w:r>
    </w:p>
    <w:p>
      <w:pPr>
        <w:pStyle w:val="10"/>
        <w:rPr>
          <w:rFonts w:hint="eastAsia"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（2）落实政府采购政策需满足的资格要求：《政府采购促进中小企业发展管理办法》(财库〔2020〕46号)、《宁夏回族自治区政府采购促进中小企业发展管理办法实施细则》(宁财规发〔2021〕2号) 、关于进一步加大政府采购支持中小企业力度的通知》 (财库〔2022〕19号)、《宁夏回族自治区财政厅 发展和改革委员会 工业和信息化厅 住房和城乡建设厅 交通运输厅 水利厅 公共资源交易管理局 中国人民银行银川中心支行关于落实政府采购促进中小企业发展有关措施的通知》（宁财(采)发〔2022〕275 号）、《国家税务总局办公厅关于进一步加大政府采购支持中小企业力度的通知》（税总办采购发〔2022〕67 号），需落实的其他政府采购相关政策等详见采购文件。</w:t>
      </w:r>
    </w:p>
    <w:p>
      <w:pPr>
        <w:pStyle w:val="10"/>
        <w:rPr>
          <w:rFonts w:hint="eastAsia"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（3）本项目的特定资格要求：</w:t>
      </w:r>
    </w:p>
    <w:p>
      <w:pPr>
        <w:pStyle w:val="10"/>
        <w:rPr>
          <w:rFonts w:hint="eastAsia"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①提供在中华人民共和国境内注册的法人或其他组织的营业执照（或事业单位法人证书，或社会团体法人登记证书），如投标供应商为自然人的需提供自然人身份证明；</w:t>
      </w:r>
    </w:p>
    <w:p>
      <w:pPr>
        <w:pStyle w:val="10"/>
        <w:rPr>
          <w:rFonts w:hint="eastAsia"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 xml:space="preserve">②法人授权委托书、法人及被授权人身份证复印件（法定代表人直接投标可不提供，但须提供法定代表人身份证复印件）； </w:t>
      </w:r>
    </w:p>
    <w:p>
      <w:pPr>
        <w:pStyle w:val="10"/>
        <w:rPr>
          <w:rFonts w:hint="eastAsia"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 xml:space="preserve">③具有良好的商业信誉和健全的财务会计制度承诺书； </w:t>
      </w:r>
    </w:p>
    <w:p>
      <w:pPr>
        <w:pStyle w:val="10"/>
        <w:rPr>
          <w:rFonts w:hint="eastAsia"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 xml:space="preserve">④具有履行合同所必需的设备和专业技术能力的承诺书； </w:t>
      </w:r>
    </w:p>
    <w:p>
      <w:pPr>
        <w:pStyle w:val="10"/>
        <w:rPr>
          <w:rFonts w:hint="eastAsia"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 xml:space="preserve">⑤依法缴纳社会保障资金的缴纳记录和税收的承诺书； </w:t>
      </w:r>
    </w:p>
    <w:p>
      <w:pPr>
        <w:pStyle w:val="10"/>
        <w:rPr>
          <w:rFonts w:hint="eastAsia"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⑥参加政府采购活动前3年内在经营活动中没有重大违法记录的承诺书；</w:t>
      </w:r>
    </w:p>
    <w:p>
      <w:pPr>
        <w:pStyle w:val="10"/>
        <w:rPr>
          <w:rFonts w:hint="default"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⑦</w:t>
      </w:r>
      <w:r>
        <w:rPr>
          <w:rFonts w:hint="default" w:eastAsia="仿宋_GB2312" w:cs="仿宋_GB2312"/>
          <w:i w:val="0"/>
          <w:iCs w:val="0"/>
          <w:snapToGrid w:val="0"/>
          <w:color w:val="auto"/>
          <w:kern w:val="0"/>
          <w:sz w:val="32"/>
          <w:szCs w:val="32"/>
          <w:highlight w:val="none"/>
          <w:lang w:val="en-US" w:eastAsia="zh-CN"/>
        </w:rPr>
        <w:t>在提交投标文件截止时间前投标供应商未被列入“信用中国”网站以下任一记录名单之一：①失信被执行人；②重大税收违法案件当事人名单；③政府采购严重违法失信行为。同时，不处于中国政府采购网“政府采购严重违法失信行为信息记录”中的禁止参加政府采购活动期间。信用记录实际查询结果以采购人或代理机构于递交投标文件截止日在“信用中国”网站及中国政府采购网查询结果为准。</w:t>
      </w:r>
    </w:p>
    <w:p>
      <w:pPr>
        <w:pStyle w:val="10"/>
        <w:rPr>
          <w:rFonts w:hint="default"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⑧</w:t>
      </w:r>
      <w:r>
        <w:rPr>
          <w:rFonts w:hint="default" w:eastAsia="仿宋_GB2312" w:cs="仿宋_GB2312"/>
          <w:i w:val="0"/>
          <w:iCs w:val="0"/>
          <w:snapToGrid w:val="0"/>
          <w:color w:val="auto"/>
          <w:kern w:val="0"/>
          <w:sz w:val="32"/>
          <w:szCs w:val="32"/>
          <w:highlight w:val="none"/>
          <w:lang w:val="en-US" w:eastAsia="zh-CN"/>
        </w:rPr>
        <w:t>本项目（是/否）专门面向中小微企业：否</w:t>
      </w:r>
    </w:p>
    <w:p>
      <w:pPr>
        <w:pStyle w:val="10"/>
        <w:rPr>
          <w:rFonts w:hint="default" w:eastAsia="仿宋_GB2312" w:cs="仿宋_GB2312"/>
          <w:i w:val="0"/>
          <w:iCs w:val="0"/>
          <w:snapToGrid w:val="0"/>
          <w:color w:val="auto"/>
          <w:kern w:val="0"/>
          <w:sz w:val="32"/>
          <w:szCs w:val="32"/>
          <w:highlight w:val="none"/>
          <w:lang w:val="en-US" w:eastAsia="zh-CN"/>
        </w:rPr>
      </w:pPr>
      <w:r>
        <w:rPr>
          <w:rFonts w:hint="eastAsia" w:eastAsia="仿宋_GB2312" w:cs="仿宋_GB2312"/>
          <w:i w:val="0"/>
          <w:iCs w:val="0"/>
          <w:snapToGrid w:val="0"/>
          <w:color w:val="auto"/>
          <w:kern w:val="0"/>
          <w:sz w:val="32"/>
          <w:szCs w:val="32"/>
          <w:highlight w:val="none"/>
          <w:lang w:val="en-US" w:eastAsia="zh-CN"/>
        </w:rPr>
        <w:t>（4）本项目不接受联合体投标。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auto"/>
          <w:sz w:val="32"/>
          <w:szCs w:val="32"/>
          <w:highlight w:val="none"/>
          <w:lang w:val="en-US" w:eastAsia="zh-CN"/>
        </w:rPr>
      </w:pPr>
      <w:bookmarkStart w:id="1" w:name="项目需求_Block"/>
      <w:r>
        <w:rPr>
          <w:rFonts w:hint="eastAsia" w:ascii="黑体" w:hAnsi="黑体" w:eastAsia="黑体" w:cs="黑体"/>
          <w:color w:val="auto"/>
          <w:sz w:val="32"/>
          <w:szCs w:val="32"/>
          <w:highlight w:val="none"/>
          <w:lang w:val="en-US" w:eastAsia="zh-CN"/>
        </w:rPr>
        <w:t>3.项目需求</w:t>
      </w:r>
      <w:bookmarkEnd w:id="1"/>
    </w:p>
    <w:p>
      <w:pPr>
        <w:pageBreakBefore w:val="0"/>
        <w:widowControl w:val="0"/>
        <w:kinsoku/>
        <w:wordWrap/>
        <w:overflowPunct/>
        <w:topLinePunct w:val="0"/>
        <w:autoSpaceDE/>
        <w:autoSpaceDN/>
        <w:bidi w:val="0"/>
        <w:spacing w:line="360" w:lineRule="auto"/>
        <w:ind w:left="0" w:firstLine="640" w:firstLineChars="200"/>
        <w:jc w:val="both"/>
        <w:textAlignment w:val="auto"/>
        <w:rPr>
          <w:rFonts w:hint="eastAsia" w:eastAsia="仿宋_GB2312" w:cs="仿宋_GB2312"/>
          <w:sz w:val="32"/>
          <w:szCs w:val="32"/>
          <w:lang w:val="en-US" w:eastAsia="zh-CN"/>
        </w:rPr>
      </w:pPr>
      <w:r>
        <w:rPr>
          <w:rFonts w:hint="eastAsia" w:ascii="仿宋_GB2312" w:hAnsi="仿宋_GB2312" w:eastAsia="仿宋_GB2312" w:cs="仿宋_GB2312"/>
          <w:sz w:val="32"/>
          <w:szCs w:val="32"/>
          <w:lang w:val="en-US" w:eastAsia="zh-CN"/>
        </w:rPr>
        <w:t>项目所需</w:t>
      </w:r>
      <w:r>
        <w:rPr>
          <w:rFonts w:hint="eastAsia" w:eastAsia="仿宋_GB2312" w:cs="仿宋_GB2312"/>
          <w:sz w:val="32"/>
          <w:szCs w:val="32"/>
          <w:lang w:val="en-US" w:eastAsia="zh-CN"/>
        </w:rPr>
        <w:t>设备和材料，必须符合国家标准、安全标准或行业标准。</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570"/>
        <w:gridCol w:w="1091"/>
        <w:gridCol w:w="6025"/>
        <w:gridCol w:w="571"/>
        <w:gridCol w:w="86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C5D9F1"/>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序号</w:t>
            </w:r>
          </w:p>
        </w:tc>
        <w:tc>
          <w:tcPr>
            <w:tcW w:w="598" w:type="pct"/>
            <w:tcBorders>
              <w:top w:val="single" w:color="000000" w:sz="4" w:space="0"/>
              <w:left w:val="single" w:color="000000" w:sz="4" w:space="0"/>
              <w:bottom w:val="single" w:color="000000" w:sz="4" w:space="0"/>
              <w:right w:val="single" w:color="000000" w:sz="4" w:space="0"/>
            </w:tcBorders>
            <w:shd w:val="clear" w:color="auto" w:fill="C5D9F1"/>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项目名称</w:t>
            </w:r>
          </w:p>
        </w:tc>
        <w:tc>
          <w:tcPr>
            <w:tcW w:w="3303" w:type="pct"/>
            <w:tcBorders>
              <w:top w:val="single" w:color="000000" w:sz="4" w:space="0"/>
              <w:left w:val="single" w:color="000000" w:sz="4" w:space="0"/>
              <w:bottom w:val="single" w:color="000000" w:sz="4" w:space="0"/>
              <w:right w:val="single" w:color="000000" w:sz="4" w:space="0"/>
            </w:tcBorders>
            <w:shd w:val="clear" w:color="auto" w:fill="C5D9F1"/>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技术参数描述</w:t>
            </w:r>
          </w:p>
        </w:tc>
        <w:tc>
          <w:tcPr>
            <w:tcW w:w="313" w:type="pct"/>
            <w:tcBorders>
              <w:top w:val="single" w:color="000000" w:sz="4" w:space="0"/>
              <w:left w:val="single" w:color="000000" w:sz="4" w:space="0"/>
              <w:bottom w:val="single" w:color="000000" w:sz="4" w:space="0"/>
              <w:right w:val="single" w:color="000000" w:sz="4" w:space="0"/>
            </w:tcBorders>
            <w:shd w:val="clear" w:color="auto" w:fill="C5D9F1"/>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单位</w:t>
            </w:r>
          </w:p>
        </w:tc>
        <w:tc>
          <w:tcPr>
            <w:tcW w:w="471" w:type="pct"/>
            <w:tcBorders>
              <w:top w:val="single" w:color="000000" w:sz="4" w:space="0"/>
              <w:left w:val="single" w:color="000000" w:sz="4" w:space="0"/>
              <w:bottom w:val="single" w:color="000000" w:sz="4" w:space="0"/>
              <w:right w:val="single" w:color="000000" w:sz="4" w:space="0"/>
            </w:tcBorders>
            <w:shd w:val="clear" w:color="auto" w:fill="C5D9F1"/>
            <w:noWrap w:val="0"/>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ind w:firstLine="0" w:firstLineChars="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一、标准化微模块机房改造</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b/>
                <w:bCs/>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（一）核心机房微模块设备</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b/>
                <w:bCs/>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b/>
                <w:bCs/>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精密列头柜</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1．名称:精密列头柜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2．精密列头柜尺寸与服务器机柜保持一致，要求配电柜主路开关≥2*100A/3P，防雷模块不低于C级防雷模块</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3．要求配电柜支路≥2路16*32A/1P，支路监测参数要求包含：支路额定电流、实际电流，支路负载百分比，支路开关状态，支路电流测量精度≥0.5%，有功功率测量精度≥2%，电能测量精度≥2%。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4．★采用≥10寸液晶彩色触摸屏，监控板需能够实现可视化界面。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5．★母排应采用纯铜导体，表面需镀锡处理，含铜量≥99.9%，</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6．配电柜后部应有防护板，并有有电危险标识，防止误触造成人员伤亡。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7．配电柜面板应丝印有系统路线图，从主路到支路的连接关系。</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母线监测参数包含：三相输入电压、电流、频率、无功功率、有功功率、功率因数、谐波百分比、电量、三相不平衡度、零地电压、零线电流，主路开关状态、负载百分比，主回路电压、电流测量精度≥0.5%，有功/无功功率测量精度≥1%，电能测量精度≥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支持显示面板声光告警，触摸屏消音。告警信息应按照重要程度分为提示告警、重要告警和紧急告警三级。智能监控板需提供以下报警：主路欠压、过压、缺相、输入开关脱扣、单路掉电报警、电流互感器接线错误告警，主路电流越限及超限告警，主回路过载告警及三相不平衡告警，主路频率越限告警，电压总谐波率高告警，电流总谐波率高告警，支路开关状态变化告警，过载告警，大电流冲击告警，支路电流两段阈值报警功能，且报警阈值可调，监控模块故障及智能监控板内部通讯失败告警。</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10．配电柜具备遥测、遥信功能，可监测输入电压、输入电流、输入频率、主要开关的状态、主电源故障等状态，并在交流电源停电或恢复时，应具备告警功能。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11．为了保证模块机房安全性，要求当配电单元通入额定电流时，插座、端子及断路器连接处的温升应≤55℃，断路器壳体的温升≤40℃。</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IT柜</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1.名称:IT柜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外形尺寸：服务器机柜规格（W*D*H）：600mm*1200mm*2000mm，每个机柜配置≥2个国标PDU，PDU规格≥12*10A+4*16A；应通过电子电气产品有害物质检测和满足垂直燃烧V-0的要求。每台机柜配置≥25个1U挡板及5个2U挡板以保证通道内外冷热气流隔绝；配置≥1条水平理线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机柜涂覆层应表面光洁、金属件无毛刺，机柜门板、侧板平整，无变形；门板开孔均匀，机柜由主框架、顶板、底板、前后门、侧横梁、内立柱和固定层板组成。其中主框架、顶底板、侧横梁、内立柱的材料厚度≥2.0mm，前后门的材料厚度≥1.5mm，侧板的材料厚度≥1.2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（3）★承载能力：机柜静态承载能力≥3000kg。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（4）★抗震：机柜带载≥600kg通过8、9级烈度结构抗地震测试。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（5）机柜角轨应采用双向丝印，同时角轨可上下对称安装，2米机柜内部满足≥42U。</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（6）门和侧板为可拆卸结构，前门单开网孔门开孔区面积比≥80％。网孔开孔率≥73％，后门双开，后门开孔区面积比≥70％，网孔开孔率≥74％。</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（7）机柜在带载≥1500kg测试通过动载DL4振动冲击试验，机柜应支持上下两种走线方式。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（8）★机柜耐电压强度：要求机柜内各带电回路以及两个非电气连接的带电回路之间，应能承受2500V，50HZ正弦试验电压1min，并不出现击穿或者飞弧现象，漏电流≤0.9mA。</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（9）机柜附件：每个机柜含左右各1条宽度≥80mm垂直理线板、1套接地组件（接地线6mm²）和19英寸安装接地铜排（3*15mm）、4个运输脚轮。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（10）★为满足机房安全性，机柜内盲板、密封圈、侧板卡、毛刷、脚轮等部件应满足垂直燃烧V-0的要求，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（11）★每台机柜配置≥1个托盘，承重≥395kg，≥1对L型支架，承重≥145kg。</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通道组件</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1.名称：通道组件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（1）含通道天窗、顶部线槽、通道门楣、机柜顶部以及底部密封挡板等。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（2）固定天窗上可安装摄像头、温湿度传感器、烟雾传感器、通道照明红外传感及预留消防喷头深入孔等。</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通道上部活动天窗，开启后悬停位置要求确保冷通道的净高≥2000mm，开启角度≥80度，并且可根据要求调节开启角度。固定型天窗和活动型天窗透光材质应使用钢化玻璃，厚度≥5mm，天窗玻璃面积占比应保证≥90%，要求钢化玻璃透光率应≥89%。</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（4）每台机柜配置1套M型走线槽。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★要求整体模块机房（包含冷通道）通过8、9级烈度结构抗地震测试。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（6）封闭冷通道组件两侧门配备无框玻璃门，钢化玻璃面积占门板总面积的比例≥98%。钢化玻璃厚度≥12mm，通道门要求与智能门禁、消防信号、红外侦测信号联动，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（7）通道门为隐藏式电动滑动门,通道门内侧要求配置防夹人传感器/手动开门按钮，通道门打开后不影响通道外触摸屏使用。微模块通道两端应设置门禁系统。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微模块通道内照明应采用LED灯管，照明采用控制智能化，人来灯亮，人走灯延时灭，当红外未检测到人员进入时，氛围灯按照报警等级控制氛围灯变色。人员进入时白灯;正常时显示蓝色;有告警信息想显示红色。</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（10）封闭通道配置≥3个固定功能天窗，≥4个活动天窗；≥2台人脸识别门禁控制一体机。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（11）封闭通道配置≥2个电动平移门，≥1台43英寸本地电容触摸屏,10点触控,分辨率1920*1080,带操作系统。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★（12）通道门楣带LCD屏≥47寸、机柜顶部以及底部密封挡板等，</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列间精密空调（含室外机）</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1.名称：列间精密空调（含室外机）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2.尺寸：高度深度与服务器机柜一致；总冷量≥25kw，显冷量≥25kw，风量≥5000m3/h，加湿量≥1.5kg/h，加热量≥1kW，水平送风模式；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3.可以实现常温情况下最低10%的IT负载（即制冷量的10%）稳定除湿量功能，降低高湿环境下数据中心低载运行的IT设备结露风险。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4.★精密空调室内机采用直流变频压缩机，全年能效比应≥4.1。</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5.配置≥7寸LCD的触摸显示屏，可以显示设备的运行模式与状态，并可设定设备参数。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6.机组具备联动与群控功能，同一区域可以将≥32套机组进行统一控制管理；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7.室内风机：采用离心式EC风机，风机N+1冗余配置，任意风机故障，仍可确保全风量运行。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8.支持空调机组380V±15%，50Hz±2Hz范围供电，适应恶劣电网环境.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12.★采用湿膜加湿，具有冷媒容量预警功能，预防由于冷媒泄露导致的空调宕机，保证机房制冷系统稳定。</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13.每台行级精密空调配置1套低温组件以满足室外机在温度-15℃--40℃时室外机正常运行。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14.含铜管、铜管保温、水管及制冷剂等安装所需辅材。</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动环监测系统</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名称：动环监测系统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2.1.主机采用ARM架构：≥2路以太网口、≥2个USB口、≥16路RS485串口、≥12路DI、≥4路DO，内置监控组态可接入各种智能设备与开关量信号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2.2.实现多种设备管理，支持第三方厂商智能设备的接口通讯协议。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2.3.主机具备双电源，一主一备，单电源故障情况下支持热插拔更换，在线更换；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2.4.主机具备良好的电磁兼容性和电气隔离性能，各接口均支持防雷，ESD，浪涌，保障系统7×24小时不间断运行。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2.5.配置≥2温湿度传感器,RS485接口,带显示屏；配置≥2烟雾探测器；≥2个绳式非定位水浸传感器；≥2条水浸探测绳；≥2个吸顶式红外传感器；≥1声光报警器，≥1台16路POE网络硬盘录像机；≥2块4TB容量硬盘；配置≥6个400万像素1080P半球型POE摄像机；≥1台24口POE交换机，≥3台人脸识别门禁控制一体机,7英寸TP屏,宽动态双目200万摄像头配套电磁锁、支架及电源和出门按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动环软件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3.1.部署在动环主机，后台软件展示模块机房温湿度、通道门禁状态、能耗等动环实时监控数据。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3.2.为了方便机房管理，系统具备自定义报表能力，支持用户自定义报表模板，运维人员可定义报表的名称、选择多测点和值类型（平均值、最大值、最小值）</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3.3.软件可实时查看行级空调运行状态和精密列头配电柜以及UPS电压、电流、电功率、负载百分比以及电池容量等运行状态。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3.4.系统采用立体化设计2D/3D模型，可根据机房实际布局展示机房内的设备和环境，可在2D或3D界面中点击任意设备跳转至下一级画面。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3.5系统具备全局指标计算系统PUE，负载率，总功率等全局状态。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3.6.告警分级发送功能：将不同设备的告警分别发送给预设的不同维护人员、维护主管、售后服务人员，以减少告警传递的环节，尽快处理告警和故障隐患，充分发挥机房动力环境监控系统的作用，提供故障处理效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3.7.★系统支持多种告警事件产生规则，应支持两级阈值、变化率、变化值、变化动作事件的告警事件规则，以对应不同场景下告警产生。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3.8.门楣管理：系统具备门楣管理功能，支持用户自定义门楣展示内容，包括但不限于欢迎词、logo、展示字体、测点数据。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3.9.系统支持按告警等级联动灯带展示，提供红（紧急和严重告警）、蓝（其他等级告警）、绿（无告警）三色展示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3.10.系统支持定制化平安通知功能，定时通知系统运行状态，异常挂死提前发现。</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3.11.要求系统支持微模块机柜资源展示，支持展示微模块整体资源容量统计指标，包括机柜数、总机架、可用机架、空间容量和电力容量，并以图表的形式展示U位统计指标和各机柜的U位、温度和湿度指标。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3.12.平台具备短信/App告警提醒功能，无人值守情况下，可实现短信发送至指定管理员手机端进行告警提醒。</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3.13★要求机房使用一套动环软件平台将微模块、配电系统、机房监控、机房门禁、UPS电源（利旧1台）、精密空调（利旧1台）等进行监控管理。</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left="0" w:leftChars="0" w:firstLine="0" w:firstLineChars="0"/>
              <w:jc w:val="left"/>
              <w:textAlignment w:val="center"/>
              <w:rPr>
                <w:rStyle w:val="15"/>
                <w:rFonts w:hint="eastAsia" w:ascii="宋体" w:hAnsi="宋体" w:eastAsia="宋体" w:cs="宋体"/>
                <w:i w:val="0"/>
                <w:iCs w:val="0"/>
                <w:lang w:val="en-US" w:eastAsia="zh-CN" w:bidi="ar"/>
              </w:rPr>
            </w:pPr>
            <w:r>
              <w:rPr>
                <w:rStyle w:val="15"/>
                <w:rFonts w:hint="eastAsia" w:ascii="宋体" w:hAnsi="宋体" w:eastAsia="宋体" w:cs="宋体"/>
                <w:i w:val="0"/>
                <w:iCs w:val="0"/>
                <w:lang w:val="en-US" w:eastAsia="zh-CN" w:bidi="ar"/>
              </w:rPr>
              <w:t>可视化展示终端</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left="0" w:leftChars="0" w:firstLine="0" w:firstLineChars="0"/>
              <w:jc w:val="left"/>
              <w:textAlignment w:val="center"/>
              <w:rPr>
                <w:rStyle w:val="15"/>
                <w:rFonts w:hint="eastAsia" w:ascii="宋体" w:hAnsi="宋体" w:eastAsia="宋体" w:cs="宋体"/>
                <w:i w:val="0"/>
                <w:iCs w:val="0"/>
                <w:lang w:val="en-US" w:eastAsia="zh-CN" w:bidi="ar"/>
              </w:rPr>
            </w:pPr>
            <w:r>
              <w:rPr>
                <w:rStyle w:val="15"/>
                <w:rFonts w:ascii="宋体" w:hAnsi="宋体" w:eastAsia="宋体" w:cs="宋体"/>
                <w:i w:val="0"/>
                <w:iCs w:val="0"/>
                <w:lang w:val="en-US" w:eastAsia="zh-CN" w:bidi="ar"/>
              </w:rPr>
              <w:t>名称：可视化显示终端</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2.参数要求：</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一、显示要求：</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1、显示尺寸：≥86英寸，LED背光源；显示比例 16:9。</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2、液晶显示屏幕采用A规液晶面板，图像分辨率≥3840*2160；亮度≥450cd/㎡；可视角度≥178°。</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二、整机系统要求：</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1、整机采用一体化设计，外部无任何可见内部功能模块的连接线；</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2、采用铝合金金属面框，能够有效保证前面框结构强度；</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 xml:space="preserve">3、前置按键和接口，按键：电源，护眼，设置，音量+，音量-，图像比例，录屏，触摸开关。前置接口：HDMI*1，Touch USB*1，USB*3，Type-C*1。 </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4、侧置输入接口：HDMI*2，USB*2，VGA+AUDIO*1，YPBPR*1，AV*1，TF*1，RJ45*1，RS232*1；侧置输出接口：TOUCH USB*1，耳机*1，AV*1，同轴*1。</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5、整机具备前置OPS电脑系统一键还原隐藏式针孔按钮，方便解决系统故障。</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6、内置音箱：≥2*10W前置全频扬声器。</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7、内置手机投屏软件，可进行手机投屏。</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8、具备锁屏功能，可设置密码解锁、手势解锁，USB KEY解锁。</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9、具备APP锁定功能，可锁定内置任意APP，有效管控APP的使用。</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10、表面玻璃采用4mm钢化玻璃（防眩光可选）。</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11、采用红外触控技术，触摸模式：支持HID免驱技术，无需安装驱动即可以实现多人同时书写与操作功能，最大可支持20点触控。</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三、内置插拔式OPS：</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1、采用模块化电脑方案，标准80针OPS-C电脑接口，外部无任何连线，方便使用与维护。</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2、处理器：Intel Core i5或以上CPU；内存规格：≥8G内存；硬盘：≥256G固态硬盘。</w:t>
            </w:r>
            <w:r>
              <w:rPr>
                <w:rStyle w:val="15"/>
                <w:rFonts w:ascii="宋体" w:hAnsi="宋体" w:eastAsia="宋体" w:cs="宋体"/>
                <w:i w:val="0"/>
                <w:iCs w:val="0"/>
                <w:lang w:val="en-US" w:eastAsia="zh-CN" w:bidi="ar"/>
              </w:rPr>
              <w:br w:type="textWrapping"/>
            </w:r>
            <w:r>
              <w:rPr>
                <w:rStyle w:val="15"/>
                <w:rFonts w:ascii="宋体" w:hAnsi="宋体" w:eastAsia="宋体" w:cs="宋体"/>
                <w:i w:val="0"/>
                <w:iCs w:val="0"/>
                <w:lang w:val="en-US" w:eastAsia="zh-CN" w:bidi="ar"/>
              </w:rPr>
              <w:t>3、软件升级：软件提供终身免费升级服务。</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可视化控制终端</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1.名称：可视化控制终端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2.参数要求：(1)CPU:≥采用6核心12线程高性能处理器，2.5GHz以上主频;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(2)内存:≥8GDDR4+32G内存；</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(3)显卡:高性能集成显卡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(4)声卡:集成HDAudio，支持5.1声道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(5)硬盘:≥1T机械硬盘；</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(6)网卡:集成10/100/1000M以太网卡；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(7)键盘、鼠标:防水键盘、抗菌鼠标</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(8)显示器：≥21.5寸LED显示器高清屏幕，分辨率2560*1440，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(9)操作系统:预装Windows操作系统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(10)机箱:标准MATX立式机箱，散热更为有效，顶置电源开关键，方便使用；</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配套辅材</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1.名称：配套辅材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2.含冷通道内部安装辅材，含天窗及照明的连接线；含安装所需电源线、冷媒、冷冻油等</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安装调试及辅材</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1.名称:安装调试及辅材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2.包含系统内设备的安装及配套的线材、辅材、管材。</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（二）机房配电改造</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动力配电柜</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1.名称:动力配电柜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2.参数要求:内含ATS转换开关（100A/4P、PC级）、4个63A 3P塑壳断路器（精密列头柜、UPS配电、空调照明配电、备用）、3个32A 3P微型断路器、6个32A 1P微型断路器（消防配电、新风配电、排风配电、备用），配置电量仪等，含40KA SPD。</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照明空调配电箱</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1.名称:照明空调配电箱</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2.参数要求:含输入2个63A 3P塑壳断路器（配置消防强切模块及电气火灾监测控制器），输出4个40A 3P微型断路器（微模块内两台空调、利旧空调1台，强电配电室利旧空调），6个32A 1P微型断路器（照明、墙插、地插、新风、备用），含25KA SPD，零地排等，尺寸≤1700*700*400mm</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电线电缆</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1.名称:电线电缆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2.型号、规格:YJV-4×25+1×16mm2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3.材质:铜芯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4.敷设方式、部位:市电原有电源室—配电机房动力配电柜，电源室油机-配电机房动力配电柜，不间断供电电源主机——列头柜</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5.电压等级(kV):1KV</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电线电缆</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1.名称:电线电缆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2.型号、规格:ZA-RVV-5×10mm2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3.材质:铜芯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4.敷设方式、部位:市电动力柜-列间空调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5.电压等级(kV):1KV</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2.型号、规格:ZA-RVV-3×6mm2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3.材质:铜芯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4.配线部位:微模块机柜PDU配电线缆</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2.型号、规格：BV-2.5mm2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3.材质:铜芯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4.配线部位:机房照明配电</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2.型号、规格:ZA-RVV-3×4mm2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3.材质:铜芯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4.配线部位:市电配电柜-新风机组</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电线电缆</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1.名称:电线电缆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2.型号、规格:ZA-RVV-16mm2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3.材质:铜芯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4.敷设方式、部位:蓄电池组-配电机房电池开关箱</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5.电压等级(kV):1KV</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电线电缆</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1.名称:电线电缆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2.型号、规格:ZA-RVV-25mm2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3.材质:铜芯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4.敷设方式、部位:配电机房UPS-配电机房电池开关箱</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5.电压等级(kV):1KV</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电池架</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1.名称：电池架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2.规格、型号：根据实际尺寸定做电池架，可装64节12v100AH电池,尺寸1600×800×1600mm；双列四层，每层16节，采用40×40×1.5镀锌方钢材质。</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UPS搬迁</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1.名称：UPS搬迁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2.规格、型号：利旧UPS从值班室搬迁至新建机房电源室，含64节12v100AH电池。</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空调迁移</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1.名称：空调迁移</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2.原有空调机组搬迁至电源室，含室外基础</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钢制散力架</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1.名称：钢制散力架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2.要求：电池柜、UPS主机、动力配电柜、微模块、空调、七氟丙烷柜等，现场根据各类设备尺寸定制，材质为角钢</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安装调试及辅材</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1.名称:安装调试及辅材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2.包含系统内设备的安装及配套的线材、辅材、管材。</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（三）七氟丙烷灭火系统</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火灾报警控制器</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1.名称：火灾报警控制器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壁挂式，可实现≥3个防区的气体灭火控制，每2个区共享≥248点回路。可适用于各种火灾探测器、手动火灾报警按钮、紧急启/停按钮、声光警报器、气体释放警报器、手自动转换开关以及输出模块等编码设备，具有火灾探测和气体灭火控制功能，自带CAN联网卡，含备电，有打印机，最多装4块联网卡。</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点型光电感烟火灾探测器</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1.名称:点型光电感烟火灾探测器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2.参数要求:智能型，电子编码，集成芯片</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点型感温火灾探测器</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1.名称:点型感温火灾探测器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2.参数要求:智能型，电子编码，内置单片机。类别：A1R、BS可设定。</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通用底座</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1.名称:通用底座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2.参数要求:适用于点型复合式感烟感温火灾探测器、点型光电感烟火灾探测器、点型感温火灾探测器、点型紫外火焰探测器。</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火灾声光警报器</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1.名称:火灾声光警报器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2.参数要求:电子编码，启动后发出强烈的声光警号，蜂鸣器检线功能。</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气体释放警报器</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1.名称:气体释放警报器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2.参数要求:电子编码，与气体灭火控制器配套使用，2线制。</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紧急启停按钮</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1.名称:紧急启停按钮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2.参数要求:电子编码，与气体灭火控制器配套使用，启动和停动共占一个编码点，按钮可提供输出无源常开触点信号，可直接控制声光警报器等设备。</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柜式七氟丙烷灭火装置</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1.名称：柜式七氟丙烷灭火装置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2.规格、型号：容量100L；包括钢瓶、容器阀、柜体、信号反馈装置、连接软管、单喷嘴。（不含灭火剂）</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柜式七氟丙烷灭火装置</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1.名称：柜式七氟丙烷灭火装置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2.规格、型号：容量70L；包括钢瓶、容器阀、柜体、信号反馈装置、连接软管、单喷嘴。（不含灭火剂）</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七氟丙烷灭火剂</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1.名称：七氟丙烷灭火剂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2.七氟丙烷药剂</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kg</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泄压阀</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1.名称：泄压阀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2.有效泄压面积≥0.1㎡</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辅材</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1.名称：辅材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2.金属线槽、金属软管，电缆、电线等材料</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气体灭火系统装置调试</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1.气体灭火系统装置调试</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安装调试及辅材</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1.名称:安装施工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2.包含系统内设备的安装。</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（四）机房新风及排烟系统</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吊卧式新风处理机</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1.名称:吊卧式新风处理机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2.规格及型号：风量≥1000m3/h,机外静压≥76Pa,输入功率≥450W额定电压≥220V噪声≥42dB(A)净重≥62kg</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电动保温阀</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1.名称:电动保温阀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2.规格及型号：电动保温阀500×200mm，与新风机组连锁</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单层百叶风口</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.名称:单层百叶风口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2.型号及规格:SB型单层百叶风口400×300mm，铝合金风口</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防雨百叶风口</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1.名称:防雨百叶风口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2.型号及规格：SB型防雨百叶风口500×200mm，铝合金风口</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电动密闭阀</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1.名称:电动密闭阀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2.型号及规格：电动密闭阀400×200mm，平时常开,气消时关闭</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新风风管</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1.名称:新风风管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2.材质:1.2mm厚镀锌钢板咬口制作安装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3.规格≥500×200mm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3.包含10mm厚橡胶板保温,风管、管件、法兰、法兰加固框、零件、支吊架制作安装、除锈刷油、穿墙套管安装</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Style w:val="16"/>
                <w:lang w:val="en-US" w:eastAsia="zh-CN" w:bidi="ar"/>
              </w:rPr>
              <w:t>m</w:t>
            </w:r>
            <w:r>
              <w:rPr>
                <w:rStyle w:val="17"/>
                <w:lang w:val="en-US" w:eastAsia="zh-CN" w:bidi="ar"/>
              </w:rPr>
              <w:t>2</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新风风管</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1.名称:新风风管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2.材质:1.2mm厚镀锌钢板咬口制作安装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3.规格：400×200mm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3.包含10mm厚橡胶板保温,风管、管件、法兰、法兰加固框、零件、支吊架制作安装、除锈刷油、穿墙套管安装</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排风风机</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11.名称:排风风机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2.规格及型号：型混流风机，风量≥2253m3/h，全压≥426Pa，电功率≥0.75KW，转速≥1450r/min，噪声≤72dB(A)电源：380V/50Hz</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电动密闭阀</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1.名称:电动密闭阀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2.型号及规格:电动密闭阀≥500×250mm，平时常开,气消时关闭,气体灭火后开启排风</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防火阀</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1.名称:防火阀</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2.型号及规格:FH-SFDW型500×250mm，常开式，70摄氏度熔断关闭</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单层百叶风口</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1.名称:单层百叶风口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2.型号及规格：SB型单层百叶风口300×300mm，铝合金风口</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防雨百叶风口</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1.名称:防雨百叶风口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2.型号及规格：SB型防雨百叶风口500×250mm，铝合金风口</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排烟风管</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1.名称:排烟风管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2.材质:1.2mm厚镀锌钢板咬口制作安装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3.规格：500×200mm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3.包含风管、管件、法兰、法兰加固框、零件、支吊架制作安装、除锈刷油、穿墙套管安装</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Style w:val="18"/>
                <w:lang w:val="en-US" w:eastAsia="zh-CN" w:bidi="ar"/>
              </w:rPr>
              <w:t>m</w:t>
            </w:r>
            <w:r>
              <w:rPr>
                <w:rStyle w:val="19"/>
                <w:lang w:val="en-US" w:eastAsia="zh-CN" w:bidi="ar"/>
              </w:rPr>
              <w:t>2</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排烟风管</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1.名称:排烟风管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2.材质:1.2mm厚镀锌钢板咬口制作安装</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3.规格：400×160mm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3.包含风管、管件、法兰、法兰加固框、零件、支吊架制作安装、除锈刷油、穿墙套管安装</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消防联动控制箱</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1.名称:消防联动控制箱</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2.规格:400×600mm</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通风工程检测、调试</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1.通风工程检测、调试</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系统</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安装及辅材</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1.名称:安装及辅材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2.包含系统内设备的安装及配套的线材、辅材、管材。</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（五）机房搬迁及环境改造</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吊顶天棚</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1.龙骨材料种类、规格、中距:轻钢龙骨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2.面层材料品种、规格:金属铝板吊顶≥600*600*0.8mm</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Style w:val="18"/>
                <w:lang w:val="en-US" w:eastAsia="zh-CN" w:bidi="ar"/>
              </w:rPr>
              <w:t>m</w:t>
            </w:r>
            <w:r>
              <w:rPr>
                <w:rStyle w:val="19"/>
                <w:lang w:val="en-US" w:eastAsia="zh-CN" w:bidi="ar"/>
              </w:rPr>
              <w:t>2</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墙面装饰板</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1.龙骨材料种类、规格、中距:75型轻钢C型龙骨固定在顶棚及地面上，安装贯通龙骨。间距600mm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2.隔离层材料种类、规格:≥50mm防火岩棉，主要原料为玄武岩</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3.基层材料种类、规格:12mm厚防火石膏板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4.面层材料品种、规格、颜色:0.6mm厚热熔镀锌钢板饰面</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Style w:val="18"/>
                <w:lang w:val="en-US" w:eastAsia="zh-CN" w:bidi="ar"/>
              </w:rPr>
              <w:t>m</w:t>
            </w:r>
            <w:r>
              <w:rPr>
                <w:rStyle w:val="19"/>
                <w:lang w:val="en-US" w:eastAsia="zh-CN" w:bidi="ar"/>
              </w:rPr>
              <w:t>2</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玻璃隔断</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1.玻璃品种、规格、颜色:含防火玻璃≥8mm；含玻璃底座及不锈钢框架包边，特殊材料运输等</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Style w:val="18"/>
                <w:lang w:val="en-US" w:eastAsia="zh-CN" w:bidi="ar"/>
              </w:rPr>
              <w:t>m</w:t>
            </w:r>
            <w:r>
              <w:rPr>
                <w:rStyle w:val="19"/>
                <w:lang w:val="en-US" w:eastAsia="zh-CN" w:bidi="ar"/>
              </w:rPr>
              <w:t>2</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全玻璃自由门</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1.门代号及洞口尺寸:M0921防火玻璃门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2.玻璃品种、厚度:防火玻璃厚度≥8mm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3.玻璃门及门锁组件，特殊材料运输</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樘</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防静电活动地板</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1.支架高度、材料种类:采用21*32*1.0镀锌型钢横梁，可调活动支架。架空高度300~500mm；含地板支撑脚</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2.面层材料品种、规格、颜色:600*600瓷砖抗静电地板</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Style w:val="18"/>
                <w:lang w:val="en-US" w:eastAsia="zh-CN" w:bidi="ar"/>
              </w:rPr>
              <w:t>m</w:t>
            </w:r>
            <w:r>
              <w:rPr>
                <w:rStyle w:val="19"/>
                <w:lang w:val="en-US" w:eastAsia="zh-CN" w:bidi="ar"/>
              </w:rPr>
              <w:t>2</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金属踢脚线</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1.踢脚线高度:≥100mm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2.基层材料种类、规格:≥18mm细木工板刷防火涂料</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3.面层材料品种、规格、颜色:不锈钢踢脚线1.2mm厚</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钢质防火门</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1.门代号及洞口尺寸:1200*2200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2.门框、扇材质:甲级钢质防火门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3.含五金(配以锁具、闭门器、顺位器等)，颜色风格与大楼整体装修一致</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樘</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59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制度牌</w:t>
            </w:r>
          </w:p>
        </w:tc>
        <w:tc>
          <w:tcPr>
            <w:tcW w:w="330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1.名称:机房管理制度牌</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2.规格:尺寸规格≥600×800mm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3.材质：泡沫板</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59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形象墙制作</w:t>
            </w:r>
          </w:p>
        </w:tc>
        <w:tc>
          <w:tcPr>
            <w:tcW w:w="330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1.名称:税务徽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2.材质：亚克力材质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3.根据现场情况定做</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59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机房拆除</w:t>
            </w:r>
          </w:p>
        </w:tc>
        <w:tc>
          <w:tcPr>
            <w:tcW w:w="330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1.吊顶、地面、墙面及消防等其他设施设备拆除</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59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垃圾清运</w:t>
            </w:r>
          </w:p>
        </w:tc>
        <w:tc>
          <w:tcPr>
            <w:tcW w:w="330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1.名称:建筑垃圾清运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2.运距:施工单位根据现场实际情况综合考虑</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598"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防火泥封堵</w:t>
            </w:r>
          </w:p>
        </w:tc>
        <w:tc>
          <w:tcPr>
            <w:tcW w:w="330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1.名称：防火泥封堵</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2.柔性防火泥封堵</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光纤槽道</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1.名称:光纤槽道</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2.材质：ABS阻燃塑料</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3.规格：120×100mm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3.含盖板</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强电桥架</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1.名称:强电桥架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2.规格、型号：封闭式镀锌桥架100×50mm</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LED平板照明灯</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1.名称:LED平板灯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2.型号:48W</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3.规格:600×600mm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4.安装方式:吸顶安装</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双头应急照明灯</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1.名称:双头应急照明灯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2.型号、规格:双LED灯，自带蓄电池，应急时间:≥90min</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安全疏散指示灯</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1.名称:安全疏散指示灯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2.型号、规格:双LED灯，自带蓄电池，应急时间:≥90min</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双联单控开关</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1.名称:双联单控开关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2.规格:250V/10A</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3.安装方式:距地1.3m安装</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5孔插座</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1.名称:5孔插座</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2.面板尺寸≥86mm（长）*86mm（宽）；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3.额定电流≥10A；</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4.含86型插座盒；</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配管</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2.材质:JDG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3.规格:20</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4.配置形式:暗转</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2.配线形式:管内配线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3.型号:ZR-BV-2.5mm2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4.材质:铜芯</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2.配线形式:管内配线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3.型号:ZR-BV-4mm2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4.材质:铜芯</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双联操作台</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1.名称:双联操作台1200×600×（H）750mm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2.材质：防火板，木饰面，防火防滑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3.含两把办公椅</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鞋套机</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1.名称：鞋套机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2.高档商用家用一次性脚套机</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机房设备搬迁</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1.名称：机房设备搬迁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2.机房内网络设备及电源设备迁移至临时位置，微模块设备安装完成后，再从临时机柜搬迁至微模块内，包含搬迁过程中的线缆材料，网络无缝割接服务。</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迁移设备保护</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1.名称：迁移设备保护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2.机房内空调、机柜、蓄电池组、UPS主机、服务器、交换机、路由器等</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均压环</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1.名称：均压环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2.规格、型号：接地铜排30×3mm</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静电接地网</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1.名称：静电接地网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2.敷设铜箔100*0.3mm，形成1200*1200mm网格，且与地板支撑底座吻合，铜箔交叉处采用镀锌螺钉固定于地面</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3.含40套绝缘子</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接地母线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1.名称:主接地线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2.规格:ZA-BVV-35mm2</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接地母线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1.名称:主接地线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2.规格:ZA-BVV-95mm2</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接地母线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1.名称:主接地线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2.规格:ZA-BVV-16mm2</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接地母线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1.名称:主接地线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2.规格:ZA-BVV-6mm2</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等电位箱</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1.名称:等电位箱</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2.规格:400×200×50mm</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套</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接地母线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1.名称:接地母线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2.材质:镀锌扁铁</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3.规格:40×4</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自流坪楼地面</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1.名称:地面防尘静电处理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2.界面剂材料种类:自流平界面剂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3.中层漆材料种类、厚度:3mm厚水泥基自流平砂浆层找平</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4.面漆材料种类、厚度:环氧树脂（防静电漆）面层</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m2</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机房内设备调试</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1.名称:机房内设备调试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2.含机房内设备调试、机房照明系统调试、机房内接地调试</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安装调试及辅材</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1.名称:安装调试及辅材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2.包含系统内设备的安装及配套服务</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二、全光网络综合布线系统话升级改造</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（一）无线网络系统</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无线AP</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1.名称:无线AP</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2.采用整机双频4流设计，可同时工作在802.11a/b/g/n/ac/acwave2/ax模式</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3.整机协商速率≥2.975Gbps，其中5G射频速率≥2.4G，2.4G射频速率≥0.575G</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4.★固化接口数≥2个，包括1个2.5G光口，1个10M/100M/1000M电口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5.⽀持内置BLE5.1功能模块</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6.支持WLAN上行链路检测功能，实时监测上行链路的可行性，当上行链路不可达时，将射频关闭，避免终端连接到不可用的网络。当上行链路恢复时，射频自动开启，无线终端可以正常接入。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7.在自动功率调整基础上，支持检测信号覆盖黑洞功能，并对AP功率做出修正，保证处于特殊位置的终端接收到增强的AP信号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8.安装方式：支持吸顶/壁挂/水平安装</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无线控制器</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1.名称:无线控制器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2.★设备≥8个千兆GE端口，≥2个万兆SFP+端口，≥2个2.5GE端口。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3.支持基于空口利用率的SSID自动隐藏功能，当空口繁忙程度达到或超过配置的阈值时，SSID自动隐藏，为用户提供稳定可靠的无线服务。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4.支持嵌入式定位，参与定位的AP支持跨信道部署；</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5.AC、AP满足Portal用户在大规模组网AC间无感知漫游。</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6.设备配置≥40个AP管理授权</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双绞线缆</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1.名称:六类非屏蔽网线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2.规格:UTP-6</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3.敷设方式:管内敷设</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158.55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双绞线缆</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1.名称:六类非屏蔽网线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2.规格:UTP-6</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3.敷设方式:桥架内敷设</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auto" w:fill="auto"/>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配管</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2.材质:金属软管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3.规格:φ20mm</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158.55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安装调试及辅材</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1.名称:安装调试及辅材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2.包含系统内设备的安装及配套的线材、辅材、管材。</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（二）全光网络综合布线系统</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ODF配线架（汇聚层）</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1.名称：ODF配线架（汇聚层）</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2.参数要求：（1）ODF光纤配线架FC/SC/LC/ST(144口)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（2）包含配件：熔接盘；尾纤保护套；光缆固定扣；螺丝；理线扣</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（3）箱体颜色：定制（烤漆）</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（4）材质：冷轧板</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光纤储纤单元</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1.名称：光纤储纤单元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2.汇聚侧储纤单元</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室内弱电箱</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1.名称：室内弱电箱</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2.规格：400×500×100mm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2.包含PDU、空开、≥8口熔纤盘、设备固定支架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3.距地2.5m明装</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双口网络信息插座</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1.名称：双口网络信息插座（含模块）</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2.含网络模块2个，含底盒及面板</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个</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室内单模4芯光纤</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1.名称：室内单模4芯光纤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2.敷设方式：管内敷设</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室内单模4芯光纤</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1.名称：室内单模4芯光纤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2.敷设方式：桥架内敷设</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19817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光纤熔接</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1.名称：光纤熔接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2.单模四芯</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芯</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1488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光纤尾纤</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1.名称：光纤尾纤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2.型号、规格：单模双纤，3米</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条</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光纤尾纤</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1.名称：光纤尾纤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2.型号、规格：单模双纤，5米</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条</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光纤尾纤</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1.名称：光纤尾纤</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2.型号、规格：单模双纤，10米</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条</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PVC线槽</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1.名称:PVC线槽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2.型号、规格:100×50mm</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3.安装部位：室内</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2213.6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配管</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2.材质:金属软管</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3.规格:φ32mm</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六类网线</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1.名称:六类非屏蔽网线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2.规格:UTP-6</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3.敷设方式:线槽内敷设</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21350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供电线缆</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1.名称:配线</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2.型号、规格:RVV-2×2.5mm2</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3.材质:铜芯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4.敷设方式：桥架内配线</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m</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2338.87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原有顶面拆除及恢复</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1.名称：原有顶面拆除及恢复</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2.部位：走廊布线，原有顶面进行部分拆除及恢复（1-6层）走廊</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598"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脚手架搭拆</w:t>
            </w:r>
          </w:p>
        </w:tc>
        <w:tc>
          <w:tcPr>
            <w:tcW w:w="330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1.脚手架搭拆</w:t>
            </w:r>
          </w:p>
        </w:tc>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shd w:val="clear" w:color="FFFFFF" w:fill="FFFFFF"/>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安装调试及辅材</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1.名称:安装调试及辅材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2.包含系统内设备的安装及配套的线材、辅材、管材。</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项</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4215" w:type="pct"/>
            <w:gridSpan w:val="3"/>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（三）IP电话系统</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kinsoku/>
              <w:wordWrap/>
              <w:overflowPunct/>
              <w:topLinePunct w:val="0"/>
              <w:autoSpaceDE/>
              <w:autoSpaceDN/>
              <w:bidi w:val="0"/>
              <w:snapToGrid/>
              <w:spacing w:line="240" w:lineRule="auto"/>
              <w:ind w:firstLine="0" w:firstLineChars="0"/>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IP程控交换机</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1.名称:IP程控交换机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2.★高性能ARM≥4核嵌入式处理器，硬件机箱支持FXO、FXS、E1数字中继等硬件板卡嵌入。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3.★支持SIP协议,支持TCP/UDP/TLS多种承载方式,支持SRTP语音加密。支持全自动部署（自动搜索网关，所有参数都在IPPBX配置，网关不需要任何配置）。</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4.支持多种音频编解码方式,alaw、ulam、g729、g722、g726、gsm、ilbc。</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5.支持SIP注册转PSTN,PSTN转SIP,IMS注册转SIP,IMS注册转模拟,点对点组网。</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6.支持语音通话,通话录音,电话会议,广播,智能路由,多方通话,异地组网,多机互联。</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7.IVR智能语音导航,中英文多级导航,黑白名单,分机彩铃,振铃组,呼叫队列,热线呼叫,默认录音功能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8.通话转接,来电截答,中继组,内线组,遇忙回叫,传真透传,T38传真。</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9.呼叫停泊,呼叫等待,呼叫跟随,快速拨号,分机漫游,密码锁,一号通。</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10.通话强插,通话强拆,通话限时,通话监听,密语监听,秘书功能,。</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11.通话记录,免打扰,叫醒,留言转邮件。</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12.支持远程注册,抖动缓冲,回声抵消,支持PMS数据接对接。</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13.USB存储扩展,TF卡存储扩展,Samba网盘存储扩展。</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14.★多语言WEB管理,端口状态指示,录音工具,网络抓包工具,网络测试工具。</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15.★网络防火墙,SIP自动防御,WEB登录防御,SIP注册安全策略(IP地址限制、用户代理限制)</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IP话机</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1.名称：IP话机</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2.★≥2.4英寸（320x240）高清彩色液晶屏，支持4条SIP线路。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3.高清语音，支持G.722和Opus语音解码，可以处理各种音频应用。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4.支持6方本地语音会议功能，提供更便捷高效的会议组织应用。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5.百兆以太网—自适应≥10/100Mbps网络端口，提供高速网络传输；支持PoE供电（同时配备5V电源适配器）。</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6.★高清语音手柄和全双工免提扬声器的硬件配置，为开放式工作空间提供出色的音频体验。V60P采用霍尔感应开关通过磁感应判断手柄是否归位相较于传统的弹簧更加耐用，摘挂机无响声营造安静舒适的办公环境。</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7.两种安装模式，桌面式安装/壁挂式安装，适用于多样化应用场景。</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8.兼容EHS耳机，接电话的同时也能处理其他事务。支持网络授时不会出现低于本年份系统时间。</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9.最多支持≥6个DSS键的自定义配置。每个DSS键可设置为Line/BLF/速拨分机等。</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598"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安装调试及辅材</w:t>
            </w:r>
          </w:p>
        </w:tc>
        <w:tc>
          <w:tcPr>
            <w:tcW w:w="330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1.名称:安装调试及辅材</w:t>
            </w:r>
            <w:r>
              <w:rPr>
                <w:rFonts w:hint="eastAsia" w:ascii="宋体" w:hAnsi="宋体" w:eastAsia="宋体" w:cs="宋体"/>
                <w:i w:val="0"/>
                <w:iCs w:val="0"/>
                <w:color w:val="000000"/>
                <w:kern w:val="0"/>
                <w:sz w:val="18"/>
                <w:szCs w:val="18"/>
                <w:u w:val="none"/>
                <w:lang w:val="en-US" w:eastAsia="zh-CN" w:bidi="ar"/>
              </w:rPr>
              <w:br w:type="textWrapping"/>
            </w:r>
            <w:r>
              <w:rPr>
                <w:rFonts w:hint="eastAsia" w:ascii="宋体" w:hAnsi="宋体" w:eastAsia="宋体" w:cs="宋体"/>
                <w:i w:val="0"/>
                <w:iCs w:val="0"/>
                <w:color w:val="000000"/>
                <w:kern w:val="0"/>
                <w:sz w:val="18"/>
                <w:szCs w:val="18"/>
                <w:u w:val="none"/>
                <w:lang w:val="en-US" w:eastAsia="zh-CN" w:bidi="ar"/>
              </w:rPr>
              <w:t>2.包含系统内设备的安装及配套的线材、辅材、管材。</w:t>
            </w:r>
          </w:p>
        </w:tc>
        <w:tc>
          <w:tcPr>
            <w:tcW w:w="313"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台</w:t>
            </w:r>
          </w:p>
        </w:tc>
        <w:tc>
          <w:tcPr>
            <w:tcW w:w="471" w:type="pct"/>
            <w:tcBorders>
              <w:top w:val="single" w:color="000000" w:sz="4" w:space="0"/>
              <w:left w:val="single" w:color="000000" w:sz="4" w:space="0"/>
              <w:bottom w:val="single" w:color="000000" w:sz="4" w:space="0"/>
              <w:right w:val="single" w:color="000000" w:sz="4" w:space="0"/>
            </w:tcBorders>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000" w:type="pct"/>
            <w:gridSpan w:val="5"/>
            <w:tcBorders>
              <w:top w:val="nil"/>
              <w:left w:val="nil"/>
              <w:bottom w:val="nil"/>
              <w:right w:val="nil"/>
            </w:tcBorders>
            <w:shd w:val="clear" w:color="auto" w:fill="FFFF00"/>
            <w:noWrap w:val="0"/>
            <w:vAlign w:val="center"/>
          </w:tcPr>
          <w:p>
            <w:pPr>
              <w:keepNext w:val="0"/>
              <w:keepLines w:val="0"/>
              <w:pageBreakBefore w:val="0"/>
              <w:widowControl/>
              <w:suppressLineNumbers w:val="0"/>
              <w:kinsoku/>
              <w:wordWrap/>
              <w:overflowPunct/>
              <w:topLinePunct w:val="0"/>
              <w:autoSpaceDE/>
              <w:autoSpaceDN/>
              <w:bidi w:val="0"/>
              <w:snapToGrid/>
              <w:spacing w:line="240" w:lineRule="auto"/>
              <w:ind w:firstLine="0" w:firstLineChars="0"/>
              <w:jc w:val="center"/>
              <w:textAlignment w:val="center"/>
              <w:rPr>
                <w:rFonts w:ascii="??" w:hAnsi="??" w:eastAsia="??" w:cs="??"/>
                <w:i w:val="0"/>
                <w:iCs w:val="0"/>
                <w:color w:val="000000"/>
                <w:sz w:val="18"/>
                <w:szCs w:val="18"/>
                <w:u w:val="none"/>
              </w:rPr>
            </w:pPr>
            <w:r>
              <w:rPr>
                <w:rFonts w:hint="default" w:ascii="??" w:hAnsi="??" w:eastAsia="??" w:cs="??"/>
                <w:i w:val="0"/>
                <w:iCs w:val="0"/>
                <w:color w:val="000000"/>
                <w:kern w:val="0"/>
                <w:sz w:val="18"/>
                <w:szCs w:val="18"/>
                <w:u w:val="none"/>
                <w:lang w:val="en-US" w:eastAsia="zh-CN" w:bidi="ar"/>
              </w:rPr>
              <w:t>注：具体采购内容，详见最终发布的采购文件及采购需求</w:t>
            </w:r>
          </w:p>
        </w:tc>
      </w:tr>
    </w:tbl>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auto"/>
          <w:sz w:val="32"/>
          <w:szCs w:val="32"/>
          <w:highlight w:val="none"/>
          <w:lang w:val="en-US" w:eastAsia="zh-CN"/>
        </w:rPr>
      </w:pPr>
      <w:bookmarkStart w:id="2" w:name="项目管理和实施要求_Block"/>
      <w:r>
        <w:rPr>
          <w:rFonts w:hint="eastAsia" w:ascii="黑体" w:hAnsi="黑体" w:eastAsia="黑体" w:cs="黑体"/>
          <w:color w:val="auto"/>
          <w:sz w:val="32"/>
          <w:szCs w:val="32"/>
          <w:highlight w:val="none"/>
          <w:lang w:val="en-US" w:eastAsia="zh-CN"/>
        </w:rPr>
        <w:t>4.项目管理和实施要求</w:t>
      </w:r>
      <w:bookmarkEnd w:id="2"/>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rPr>
          <w:rFonts w:hint="eastAsia" w:ascii="仿宋_GB2312" w:hAnsi="仿宋_GB2312" w:eastAsia="仿宋_GB2312" w:cs="仿宋_GB2312"/>
          <w:i w:val="0"/>
          <w:iCs w:val="0"/>
          <w:snapToGrid w:val="0"/>
          <w:color w:val="auto"/>
          <w:kern w:val="0"/>
          <w:sz w:val="32"/>
          <w:szCs w:val="32"/>
          <w:highlight w:val="none"/>
        </w:rPr>
      </w:pPr>
      <w:r>
        <w:rPr>
          <w:rFonts w:hint="eastAsia" w:ascii="仿宋_GB2312" w:hAnsi="仿宋_GB2312" w:eastAsia="仿宋_GB2312" w:cs="仿宋_GB2312"/>
          <w:i w:val="0"/>
          <w:iCs w:val="0"/>
          <w:snapToGrid w:val="0"/>
          <w:color w:val="auto"/>
          <w:kern w:val="0"/>
          <w:sz w:val="32"/>
          <w:szCs w:val="32"/>
          <w:highlight w:val="none"/>
        </w:rPr>
        <w:t>项目开始实施后，供应商应严格按照项目设计方案，确保项目顺利实施完成，项目实施期间，供应商要做好施工安全管理工作，包括施工安全、人员安全、网络安全，遵守采购方管理规定，实施过程中做好采购方非拆除设施的保护，如造成损坏必须及时更换或维修，不能更换或维修的原价赔偿。</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auto"/>
          <w:sz w:val="32"/>
          <w:szCs w:val="32"/>
          <w:highlight w:val="none"/>
          <w:lang w:val="en-US" w:eastAsia="zh-CN"/>
        </w:rPr>
      </w:pPr>
      <w:bookmarkStart w:id="3" w:name="技术支持服务要求_Block"/>
      <w:r>
        <w:rPr>
          <w:rFonts w:hint="eastAsia" w:ascii="黑体" w:hAnsi="黑体" w:eastAsia="黑体" w:cs="黑体"/>
          <w:color w:val="auto"/>
          <w:sz w:val="32"/>
          <w:szCs w:val="32"/>
          <w:highlight w:val="none"/>
          <w:lang w:val="en-US" w:eastAsia="zh-CN"/>
        </w:rPr>
        <w:t>5.技术支持服务要求</w:t>
      </w:r>
      <w:bookmarkEnd w:id="3"/>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snapToGrid w:val="0"/>
          <w:color w:val="auto"/>
          <w:kern w:val="0"/>
          <w:sz w:val="32"/>
          <w:szCs w:val="32"/>
          <w:highlight w:val="none"/>
          <w:lang w:eastAsia="zh-CN"/>
        </w:rPr>
      </w:pPr>
      <w:bookmarkStart w:id="4" w:name="售后及质量保障服务要求_Block"/>
      <w:r>
        <w:rPr>
          <w:rFonts w:hint="eastAsia" w:ascii="仿宋_GB2312" w:hAnsi="仿宋_GB2312" w:eastAsia="仿宋_GB2312" w:cs="仿宋_GB2312"/>
          <w:i w:val="0"/>
          <w:iCs w:val="0"/>
          <w:snapToGrid w:val="0"/>
          <w:color w:val="auto"/>
          <w:kern w:val="0"/>
          <w:sz w:val="32"/>
          <w:szCs w:val="32"/>
          <w:highlight w:val="none"/>
          <w:lang w:eastAsia="zh-CN"/>
        </w:rPr>
        <w:t>项目实施过程中，供应商应提供相关技术服务：</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（一）安装调试服务：项目实施期间对机房设备、网络设备、通讯设备能够正确安装、连通，按照设计要求进行相应设置。</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（二）测试服务：项目实施期间对安装的设备进行功能和性能测试，确保设备能够按照要求正常运行，并达到要求的性能指标。</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（三）安全服务：项目实施期间提供安全评估、防火墙配置、上网行为管理配置等网络安全服务，确保项目实施过程中的网络安全。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（四）运维服务：项目完成后在合同约定（质保期内免费服务），提供设备运维服务，包括设备的运行监控、故障排除、软件更新等，确保设备长期稳定运行。</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（五）培训服务：项目完成后一周内，对采购方人员提供相关设备和系统的操作培训，确保采购方相关人员熟练掌握新设备和新系统的使用方法。</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i w:val="0"/>
          <w:iCs w:val="0"/>
          <w:snapToGrid w:val="0"/>
          <w:color w:val="auto"/>
          <w:kern w:val="0"/>
          <w:sz w:val="32"/>
          <w:szCs w:val="32"/>
          <w:highlight w:val="none"/>
          <w:lang w:eastAsia="zh-CN"/>
        </w:rPr>
      </w:pPr>
      <w:r>
        <w:rPr>
          <w:rFonts w:hint="eastAsia" w:ascii="仿宋_GB2312" w:hAnsi="仿宋_GB2312" w:eastAsia="仿宋_GB2312" w:cs="仿宋_GB2312"/>
          <w:i w:val="0"/>
          <w:iCs w:val="0"/>
          <w:snapToGrid w:val="0"/>
          <w:color w:val="auto"/>
          <w:kern w:val="0"/>
          <w:sz w:val="32"/>
          <w:szCs w:val="32"/>
          <w:highlight w:val="none"/>
          <w:lang w:eastAsia="zh-CN"/>
        </w:rPr>
        <w:t>（六）技术支持服务：供应商应指定专人负责技术支持，发生故障后，重大故障（造成大面积网络中断），自报故障之时起，供应商应立即响应，1小时内解决问题，小微故障（造成单个部门或单个电脑网络中断），自报故障之时起，4小时内解决问题，规定时间内不能排除故障的，应提供不低于故障设备规格型号档次的备用设备供采购人使用，确保采购人正常使用。</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6.售后及质量保障服务要求</w:t>
      </w:r>
      <w:bookmarkEnd w:id="4"/>
    </w:p>
    <w:p>
      <w:pPr>
        <w:keepNext w:val="0"/>
        <w:keepLines w:val="0"/>
        <w:pageBreakBefore w:val="0"/>
        <w:widowControl w:val="0"/>
        <w:numPr>
          <w:ilvl w:val="0"/>
          <w:numId w:val="0"/>
        </w:numPr>
        <w:kinsoku/>
        <w:wordWrap/>
        <w:overflowPunct/>
        <w:topLinePunct w:val="0"/>
        <w:autoSpaceDE/>
        <w:autoSpaceDN/>
        <w:bidi w:val="0"/>
        <w:spacing w:line="600" w:lineRule="exact"/>
        <w:ind w:left="0" w:leftChars="0" w:firstLine="640" w:firstLineChars="200"/>
        <w:jc w:val="both"/>
        <w:textAlignment w:val="auto"/>
        <w:rPr>
          <w:rFonts w:hint="default" w:ascii="Calibri" w:hAnsi="Calibri" w:eastAsia="仿宋_GB2312" w:cs="Times New Roman"/>
          <w:i w:val="0"/>
          <w:iCs w:val="0"/>
          <w:snapToGrid w:val="0"/>
          <w:color w:val="auto"/>
          <w:kern w:val="0"/>
          <w:sz w:val="32"/>
          <w:szCs w:val="32"/>
          <w:highlight w:val="none"/>
          <w:lang w:val="en-US" w:eastAsia="zh-CN" w:bidi="ar-SA"/>
        </w:rPr>
      </w:pPr>
      <w:r>
        <w:rPr>
          <w:rFonts w:hint="eastAsia" w:ascii="仿宋_GB2312" w:hAnsi="仿宋_GB2312" w:eastAsia="仿宋_GB2312" w:cs="仿宋_GB2312"/>
          <w:i w:val="0"/>
          <w:iCs w:val="0"/>
          <w:snapToGrid w:val="0"/>
          <w:color w:val="auto"/>
          <w:kern w:val="0"/>
          <w:sz w:val="32"/>
          <w:szCs w:val="32"/>
          <w:highlight w:val="none"/>
          <w:lang w:val="en-US" w:eastAsia="zh-CN" w:bidi="ar-SA"/>
        </w:rPr>
        <w:t>供应商需提供全面的售后服务支持，确保服务团队具备必要的技术资格和经验，能够提供专业、高效的服务；原厂商应提供专业的培训服务，确保用的技术人员能够熟练操作和管理设备，供应商需提供紧急情况下的快速响应服务，包括远程诊断和现场技术支持。售后服务期限不得少于行业标准年限，服务内容包括机房基础设施和网络设备。一般故障的响应时间不超过4小时，紧急故障的响应时间不超过1小时，一般故障应在24小时内解决。供应商需通过电话、电子邮件、远程桌面连接等多种方式提供快速响应，所供设备保修期限不得低于行业标准，常用备品备件库存应充足，以确保快速更换故障部件。</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auto"/>
          <w:sz w:val="32"/>
          <w:szCs w:val="32"/>
          <w:highlight w:val="none"/>
          <w:lang w:val="en-US" w:eastAsia="zh-CN"/>
        </w:rPr>
      </w:pPr>
      <w:bookmarkStart w:id="5" w:name="验收要求_Block"/>
      <w:r>
        <w:rPr>
          <w:rFonts w:hint="eastAsia" w:ascii="黑体" w:hAnsi="黑体" w:eastAsia="黑体" w:cs="黑体"/>
          <w:color w:val="auto"/>
          <w:sz w:val="32"/>
          <w:szCs w:val="32"/>
          <w:highlight w:val="none"/>
          <w:lang w:val="en-US" w:eastAsia="zh-CN"/>
        </w:rPr>
        <w:t>7.验收要求</w:t>
      </w:r>
      <w:bookmarkEnd w:id="5"/>
    </w:p>
    <w:p>
      <w:pPr>
        <w:pStyle w:val="8"/>
        <w:keepNext w:val="0"/>
        <w:keepLines w:val="0"/>
        <w:pageBreakBefore w:val="0"/>
        <w:widowControl/>
        <w:numPr>
          <w:ilvl w:val="0"/>
          <w:numId w:val="0"/>
        </w:numPr>
        <w:kinsoku/>
        <w:wordWrap/>
        <w:overflowPunct w:val="0"/>
        <w:topLinePunct w:val="0"/>
        <w:autoSpaceDE w:val="0"/>
        <w:autoSpaceDN w:val="0"/>
        <w:bidi w:val="0"/>
        <w:adjustRightInd w:val="0"/>
        <w:snapToGrid w:val="0"/>
        <w:spacing w:line="600" w:lineRule="exact"/>
        <w:ind w:firstLine="640" w:firstLineChars="200"/>
        <w:textAlignment w:val="baseline"/>
        <w:rPr>
          <w:rFonts w:hint="eastAsia" w:ascii="黑体" w:hAnsi="黑体" w:eastAsia="黑体" w:cs="黑体"/>
          <w:sz w:val="32"/>
          <w:szCs w:val="32"/>
          <w:lang w:val="en-US" w:eastAsia="zh-CN"/>
        </w:rPr>
      </w:pPr>
      <w:r>
        <w:rPr>
          <w:rFonts w:hint="eastAsia" w:ascii="仿宋_GB2312" w:hAnsi="仿宋_GB2312" w:eastAsia="仿宋_GB2312" w:cs="仿宋_GB2312"/>
          <w:b w:val="0"/>
          <w:bCs w:val="0"/>
          <w:color w:val="000000"/>
          <w:kern w:val="0"/>
          <w:sz w:val="32"/>
          <w:szCs w:val="32"/>
          <w:highlight w:val="none"/>
          <w:lang w:eastAsia="zh-CN" w:bidi="ar"/>
        </w:rPr>
        <w:t>按照政府采购合同约定的技术、服务和安全标准，对供应商各项义务履行情况进行验收确认。验收标准应当符合采购文件及合同约定，未进行约定的，应当符合国家强制性规定、政策要求、安全标准和行业有关标准。</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auto"/>
          <w:sz w:val="32"/>
          <w:szCs w:val="32"/>
          <w:highlight w:val="none"/>
          <w:lang w:val="en-US" w:eastAsia="zh-CN"/>
        </w:rPr>
      </w:pPr>
      <w:bookmarkStart w:id="6" w:name="其他要求_Block"/>
      <w:r>
        <w:rPr>
          <w:rFonts w:hint="eastAsia" w:ascii="黑体" w:hAnsi="黑体" w:eastAsia="黑体" w:cs="黑体"/>
          <w:color w:val="auto"/>
          <w:sz w:val="32"/>
          <w:szCs w:val="32"/>
          <w:highlight w:val="none"/>
          <w:lang w:val="en-US" w:eastAsia="zh-CN"/>
        </w:rPr>
        <w:t>8.其他要求</w:t>
      </w:r>
      <w:bookmarkEnd w:id="6"/>
    </w:p>
    <w:p>
      <w:pPr>
        <w:keepNext w:val="0"/>
        <w:keepLines w:val="0"/>
        <w:pageBreakBefore w:val="0"/>
        <w:widowControl w:val="0"/>
        <w:kinsoku/>
        <w:wordWrap/>
        <w:overflowPunct/>
        <w:topLinePunct w:val="0"/>
        <w:autoSpaceDE/>
        <w:autoSpaceDN/>
        <w:bidi w:val="0"/>
        <w:adjustRightInd w:val="0"/>
        <w:snapToGrid w:val="0"/>
        <w:spacing w:line="600" w:lineRule="exact"/>
        <w:ind w:left="0" w:firstLine="640" w:firstLineChars="200"/>
        <w:jc w:val="both"/>
        <w:textAlignment w:val="auto"/>
        <w:outlineLvl w:val="9"/>
        <w:rPr>
          <w:rFonts w:hint="eastAsia" w:ascii="仿宋_GB2312" w:hAnsi="仿宋_GB2312" w:eastAsia="仿宋_GB2312" w:cs="仿宋_GB2312"/>
          <w:b w:val="0"/>
          <w:sz w:val="32"/>
          <w:szCs w:val="32"/>
          <w:lang w:val="en-US" w:eastAsia="zh-CN" w:bidi="ar-SA"/>
        </w:rPr>
      </w:pPr>
      <w:r>
        <w:rPr>
          <w:rFonts w:hint="eastAsia" w:ascii="仿宋_GB2312" w:hAnsi="仿宋_GB2312" w:eastAsia="仿宋_GB2312" w:cs="仿宋_GB2312"/>
          <w:b w:val="0"/>
          <w:sz w:val="32"/>
          <w:szCs w:val="32"/>
          <w:lang w:val="en-US" w:eastAsia="zh-CN" w:bidi="ar-SA"/>
        </w:rPr>
        <w:t>项目实施期间，供应商应制定科学合理的工作方案和应急预案，在机房设备迁移、网络设备更换、综合布线切割时，确保业务系统的连续性，不得造成工作时间业务系统中断。</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黑体" w:hAnsi="黑体" w:eastAsia="黑体" w:cs="黑体"/>
          <w:color w:val="auto"/>
          <w:sz w:val="32"/>
          <w:szCs w:val="32"/>
          <w:highlight w:val="none"/>
          <w:lang w:val="en-US" w:eastAsia="zh-CN"/>
        </w:rPr>
      </w:pPr>
      <w:r>
        <w:rPr>
          <w:rFonts w:hint="eastAsia" w:ascii="黑体" w:hAnsi="黑体" w:eastAsia="黑体" w:cs="黑体"/>
          <w:color w:val="auto"/>
          <w:sz w:val="32"/>
          <w:szCs w:val="32"/>
          <w:highlight w:val="none"/>
          <w:lang w:val="en-US" w:eastAsia="zh-CN"/>
        </w:rPr>
        <w:t>9.评审因素和标准</w:t>
      </w:r>
    </w:p>
    <w:tbl>
      <w:tblPr>
        <w:tblStyle w:val="11"/>
        <w:tblW w:w="5565" w:type="pct"/>
        <w:tblInd w:w="-5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00"/>
        <w:gridCol w:w="637"/>
        <w:gridCol w:w="648"/>
        <w:gridCol w:w="739"/>
        <w:gridCol w:w="77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1" w:hRule="atLeast"/>
        </w:trPr>
        <w:tc>
          <w:tcPr>
            <w:tcW w:w="197"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b/>
                <w:bCs/>
                <w:i w:val="0"/>
                <w:iCs w:val="0"/>
                <w:color w:val="000000"/>
                <w:kern w:val="2"/>
                <w:sz w:val="20"/>
                <w:szCs w:val="20"/>
                <w:u w:val="none"/>
                <w:lang w:val="en-US" w:eastAsia="zh-CN" w:bidi="ar-SA"/>
              </w:rPr>
            </w:pPr>
            <w:r>
              <w:rPr>
                <w:rFonts w:hint="eastAsia" w:ascii="宋体" w:hAnsi="宋体" w:eastAsia="宋体" w:cs="宋体"/>
                <w:b/>
                <w:bCs/>
                <w:i w:val="0"/>
                <w:iCs w:val="0"/>
                <w:snapToGrid w:val="0"/>
                <w:color w:val="000000"/>
                <w:kern w:val="0"/>
                <w:sz w:val="20"/>
                <w:szCs w:val="20"/>
                <w:u w:val="none"/>
                <w:lang w:val="en-US" w:eastAsia="zh-CN" w:bidi="ar"/>
              </w:rPr>
              <w:t>序号</w:t>
            </w:r>
          </w:p>
        </w:tc>
        <w:tc>
          <w:tcPr>
            <w:tcW w:w="313"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b/>
                <w:bCs/>
                <w:i w:val="0"/>
                <w:iCs w:val="0"/>
                <w:color w:val="000000"/>
                <w:kern w:val="2"/>
                <w:sz w:val="20"/>
                <w:szCs w:val="20"/>
                <w:u w:val="none"/>
                <w:lang w:val="en-US" w:eastAsia="zh-CN" w:bidi="ar-SA"/>
              </w:rPr>
            </w:pPr>
            <w:r>
              <w:rPr>
                <w:rFonts w:hint="eastAsia" w:ascii="宋体" w:hAnsi="宋体" w:eastAsia="宋体" w:cs="宋体"/>
                <w:b/>
                <w:bCs/>
                <w:i w:val="0"/>
                <w:iCs w:val="0"/>
                <w:snapToGrid w:val="0"/>
                <w:color w:val="000000"/>
                <w:kern w:val="0"/>
                <w:sz w:val="20"/>
                <w:szCs w:val="20"/>
                <w:u w:val="none"/>
                <w:lang w:val="en-US" w:eastAsia="zh-CN" w:bidi="ar"/>
              </w:rPr>
              <w:t>评审项目</w:t>
            </w: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b/>
                <w:bCs/>
                <w:color w:val="auto"/>
                <w:sz w:val="20"/>
                <w:szCs w:val="20"/>
                <w:highlight w:val="none"/>
              </w:rPr>
            </w:pPr>
            <w:r>
              <w:rPr>
                <w:rFonts w:hint="eastAsia" w:ascii="宋体" w:hAnsi="宋体" w:cs="宋体"/>
                <w:b/>
                <w:bCs/>
                <w:color w:val="auto"/>
                <w:sz w:val="20"/>
                <w:szCs w:val="20"/>
                <w:highlight w:val="none"/>
              </w:rPr>
              <w:t>主要</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b/>
                <w:bCs/>
                <w:i w:val="0"/>
                <w:iCs w:val="0"/>
                <w:snapToGrid w:val="0"/>
                <w:color w:val="000000"/>
                <w:kern w:val="0"/>
                <w:sz w:val="20"/>
                <w:szCs w:val="20"/>
                <w:u w:val="none"/>
                <w:lang w:val="en-US" w:eastAsia="zh-CN" w:bidi="ar"/>
              </w:rPr>
            </w:pPr>
            <w:r>
              <w:rPr>
                <w:rFonts w:hint="eastAsia" w:ascii="宋体" w:hAnsi="宋体" w:cs="宋体"/>
                <w:b/>
                <w:bCs/>
                <w:color w:val="auto"/>
                <w:sz w:val="20"/>
                <w:szCs w:val="20"/>
                <w:highlight w:val="none"/>
              </w:rPr>
              <w:t>内容</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b/>
                <w:bCs/>
                <w:i w:val="0"/>
                <w:iCs w:val="0"/>
                <w:color w:val="000000"/>
                <w:kern w:val="2"/>
                <w:sz w:val="20"/>
                <w:szCs w:val="20"/>
                <w:u w:val="none"/>
                <w:lang w:val="en-US" w:eastAsia="zh-CN" w:bidi="ar-SA"/>
              </w:rPr>
            </w:pPr>
            <w:r>
              <w:rPr>
                <w:rFonts w:hint="eastAsia" w:ascii="宋体" w:hAnsi="宋体" w:eastAsia="宋体" w:cs="宋体"/>
                <w:b/>
                <w:bCs/>
                <w:i w:val="0"/>
                <w:iCs w:val="0"/>
                <w:snapToGrid w:val="0"/>
                <w:color w:val="000000"/>
                <w:kern w:val="0"/>
                <w:sz w:val="20"/>
                <w:szCs w:val="20"/>
                <w:u w:val="none"/>
                <w:lang w:val="en-US" w:eastAsia="zh-CN" w:bidi="ar"/>
              </w:rPr>
              <w:t>分值权重</w:t>
            </w:r>
          </w:p>
        </w:tc>
        <w:tc>
          <w:tcPr>
            <w:tcW w:w="3805"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b/>
                <w:bCs/>
                <w:i w:val="0"/>
                <w:iCs w:val="0"/>
                <w:color w:val="000000"/>
                <w:kern w:val="2"/>
                <w:sz w:val="20"/>
                <w:szCs w:val="20"/>
                <w:u w:val="none"/>
                <w:lang w:val="en-US" w:eastAsia="zh-CN" w:bidi="ar-SA"/>
              </w:rPr>
            </w:pPr>
            <w:r>
              <w:rPr>
                <w:rFonts w:hint="eastAsia" w:ascii="宋体" w:hAnsi="宋体" w:eastAsia="宋体" w:cs="宋体"/>
                <w:b/>
                <w:bCs/>
                <w:i w:val="0"/>
                <w:iCs w:val="0"/>
                <w:snapToGrid w:val="0"/>
                <w:color w:val="000000"/>
                <w:kern w:val="0"/>
                <w:sz w:val="20"/>
                <w:szCs w:val="20"/>
                <w:u w:val="none"/>
                <w:lang w:val="en-US" w:eastAsia="zh-CN" w:bidi="ar"/>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5" w:hRule="atLeast"/>
        </w:trPr>
        <w:tc>
          <w:tcPr>
            <w:tcW w:w="197"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313"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投标报价</w:t>
            </w: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ascii="宋体" w:hAnsi="宋体" w:cs="宋体"/>
                <w:color w:val="auto"/>
                <w:sz w:val="20"/>
                <w:szCs w:val="20"/>
                <w:highlight w:val="none"/>
                <w:lang w:val="zh-CN"/>
              </w:rPr>
              <w:t>价格</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3805"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投标报价得分=(评标基准价/投标报价)×30。 </w:t>
            </w:r>
          </w:p>
          <w:p>
            <w:pPr>
              <w:keepNext w:val="0"/>
              <w:keepLines w:val="0"/>
              <w:pageBreakBefore w:val="0"/>
              <w:widowControl/>
              <w:suppressLineNumbers w:val="0"/>
              <w:kinsoku/>
              <w:wordWrap/>
              <w:overflowPunct/>
              <w:topLinePunct w:val="0"/>
              <w:bidi w:val="0"/>
              <w:adjustRightInd/>
              <w:snapToGrid/>
              <w:spacing w:line="240" w:lineRule="auto"/>
              <w:ind w:firstLine="400" w:firstLineChars="200"/>
              <w:jc w:val="left"/>
              <w:rPr>
                <w:rFonts w:hint="eastAsia"/>
                <w:sz w:val="20"/>
                <w:szCs w:val="20"/>
                <w:lang w:val="en-US" w:eastAsia="zh-CN"/>
              </w:rPr>
            </w:pPr>
            <w:r>
              <w:rPr>
                <w:rFonts w:hint="eastAsia" w:ascii="宋体" w:hAnsi="宋体" w:eastAsia="宋体" w:cs="宋体"/>
                <w:i w:val="0"/>
                <w:iCs w:val="0"/>
                <w:snapToGrid w:val="0"/>
                <w:color w:val="000000"/>
                <w:kern w:val="0"/>
                <w:sz w:val="20"/>
                <w:szCs w:val="20"/>
                <w:u w:val="none"/>
                <w:lang w:val="en-US" w:eastAsia="zh-CN" w:bidi="ar"/>
              </w:rPr>
              <w:t>（1）评标基准价是指满足招标文件要求且投标价格最低的投标报价，其价格分为满分。（2）因落实政府采购政策进行价格调整的，以调整后的价格计算评标基准价和投标报价。（3）如为专门面向中小企业采购的项目，不再执行价格评审优惠的扶持政策。</w:t>
            </w:r>
            <w:r>
              <w:rPr>
                <w:rFonts w:hint="eastAsia" w:ascii="宋体" w:hAnsi="宋体" w:eastAsia="宋体" w:cs="宋体"/>
                <w:color w:val="000000"/>
                <w:kern w:val="0"/>
                <w:sz w:val="20"/>
                <w:szCs w:val="20"/>
                <w:lang w:val="en-US" w:eastAsia="zh-CN" w:bidi="ar"/>
              </w:rPr>
              <w:t>投标报价计算得分保留2位小数。</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402" w:firstLineChars="200"/>
              <w:jc w:val="left"/>
              <w:textAlignment w:val="center"/>
              <w:rPr>
                <w:rFonts w:hint="eastAsia" w:ascii="宋体" w:hAnsi="宋体" w:eastAsia="宋体" w:cs="宋体"/>
                <w:i w:val="0"/>
                <w:iCs w:val="0"/>
                <w:color w:val="000000"/>
                <w:sz w:val="20"/>
                <w:szCs w:val="20"/>
                <w:u w:val="none"/>
              </w:rPr>
            </w:pPr>
            <w:r>
              <w:rPr>
                <w:rFonts w:hint="eastAsia" w:ascii="宋体" w:hAnsi="宋体" w:cs="宋体"/>
                <w:b/>
                <w:bCs/>
                <w:i w:val="0"/>
                <w:iCs w:val="0"/>
                <w:snapToGrid w:val="0"/>
                <w:color w:val="000000"/>
                <w:kern w:val="0"/>
                <w:sz w:val="20"/>
                <w:szCs w:val="20"/>
                <w:u w:val="none"/>
                <w:lang w:val="en-US" w:eastAsia="zh-CN" w:bidi="ar"/>
              </w:rPr>
              <w:t>注：</w:t>
            </w:r>
            <w:r>
              <w:rPr>
                <w:rFonts w:hint="eastAsia" w:ascii="宋体" w:hAnsi="宋体" w:eastAsia="宋体" w:cs="宋体"/>
                <w:b/>
                <w:bCs/>
                <w:i w:val="0"/>
                <w:iCs w:val="0"/>
                <w:snapToGrid w:val="0"/>
                <w:color w:val="000000"/>
                <w:kern w:val="0"/>
                <w:sz w:val="20"/>
                <w:szCs w:val="20"/>
                <w:u w:val="none"/>
                <w:lang w:val="en-US" w:eastAsia="zh-CN" w:bidi="ar"/>
              </w:rPr>
              <w:t>投标报价超过招标文件规定的最高限价的，其投标无效。评评标委员会认为供应商的报价明显低于其他通过符合性审查供应商的报价，有可能影响质量或者不能诚信履约的，应当要求其在评标现场合理的时间内提供书面说明，必要时提交相关证明材料；供应商不能证明其报价合理性的，评标委员会应当将其作为无效投标处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trPr>
        <w:tc>
          <w:tcPr>
            <w:tcW w:w="197" w:type="pct"/>
            <w:vMerge w:val="restar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eastAsia="宋体" w:cs="宋体"/>
                <w:i w:val="0"/>
                <w:iCs w:val="0"/>
                <w:snapToGrid w:val="0"/>
                <w:color w:val="000000"/>
                <w:kern w:val="0"/>
                <w:sz w:val="20"/>
                <w:szCs w:val="20"/>
                <w:u w:val="none"/>
                <w:lang w:val="en-US" w:eastAsia="zh-CN" w:bidi="ar"/>
              </w:rPr>
            </w:pPr>
            <w:r>
              <w:rPr>
                <w:rFonts w:hint="eastAsia" w:ascii="宋体" w:hAnsi="宋体" w:cs="宋体"/>
                <w:i w:val="0"/>
                <w:iCs w:val="0"/>
                <w:snapToGrid w:val="0"/>
                <w:color w:val="000000"/>
                <w:kern w:val="0"/>
                <w:sz w:val="20"/>
                <w:szCs w:val="20"/>
                <w:u w:val="none"/>
                <w:lang w:val="en-US" w:eastAsia="zh-CN" w:bidi="ar"/>
              </w:rPr>
              <w:t>2</w:t>
            </w:r>
          </w:p>
        </w:tc>
        <w:tc>
          <w:tcPr>
            <w:tcW w:w="313" w:type="pct"/>
            <w:vMerge w:val="restar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cs="宋体"/>
                <w:color w:val="auto"/>
                <w:sz w:val="20"/>
                <w:szCs w:val="20"/>
                <w:highlight w:val="none"/>
                <w:lang w:val="zh-CN"/>
              </w:rPr>
              <w:t>商务因素</w:t>
            </w: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ascii="宋体" w:hAnsi="宋体" w:eastAsia="宋体" w:cs="宋体"/>
                <w:color w:val="auto"/>
                <w:sz w:val="20"/>
                <w:szCs w:val="20"/>
                <w:highlight w:val="none"/>
                <w:lang w:val="zh-CN"/>
              </w:rPr>
            </w:pPr>
            <w:r>
              <w:rPr>
                <w:rFonts w:hint="eastAsia" w:ascii="宋体" w:hAnsi="宋体" w:eastAsia="宋体" w:cs="宋体"/>
                <w:color w:val="auto"/>
                <w:sz w:val="20"/>
                <w:szCs w:val="20"/>
                <w:highlight w:val="none"/>
                <w:lang w:val="en-US" w:eastAsia="zh-CN"/>
              </w:rPr>
              <w:t>商务标响应情况</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eastAsia="宋体" w:cs="宋体"/>
                <w:i w:val="0"/>
                <w:iCs w:val="0"/>
                <w:snapToGrid w:val="0"/>
                <w:color w:val="000000"/>
                <w:kern w:val="0"/>
                <w:sz w:val="20"/>
                <w:szCs w:val="20"/>
                <w:u w:val="none"/>
                <w:lang w:val="en-US" w:eastAsia="zh-CN" w:bidi="ar"/>
              </w:rPr>
            </w:pPr>
            <w:r>
              <w:rPr>
                <w:rFonts w:hint="eastAsia" w:ascii="宋体" w:hAnsi="宋体" w:cs="宋体"/>
                <w:i w:val="0"/>
                <w:iCs w:val="0"/>
                <w:snapToGrid w:val="0"/>
                <w:color w:val="000000"/>
                <w:kern w:val="0"/>
                <w:sz w:val="20"/>
                <w:szCs w:val="20"/>
                <w:u w:val="none"/>
                <w:lang w:val="en-US" w:eastAsia="zh-CN" w:bidi="ar"/>
              </w:rPr>
              <w:t>3</w:t>
            </w:r>
          </w:p>
        </w:tc>
        <w:tc>
          <w:tcPr>
            <w:tcW w:w="3805" w:type="pct"/>
            <w:noWrap w:val="0"/>
            <w:vAlign w:val="center"/>
          </w:tcPr>
          <w:p>
            <w:pPr>
              <w:keepNext w:val="0"/>
              <w:keepLines w:val="0"/>
              <w:pageBreakBefore w:val="0"/>
              <w:widowControl/>
              <w:suppressLineNumbers w:val="0"/>
              <w:kinsoku/>
              <w:wordWrap/>
              <w:overflowPunct/>
              <w:topLinePunct w:val="0"/>
              <w:bidi w:val="0"/>
              <w:adjustRightInd/>
              <w:snapToGrid/>
              <w:spacing w:line="240" w:lineRule="auto"/>
              <w:ind w:firstLine="400" w:firstLineChars="200"/>
              <w:jc w:val="left"/>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不能实质性满足招标文件要求的为无效标书。完全满足招标文件要求的得2分，以此为基础，投标人的商务条款优于招标文件规定的相应商务条款的，每有一项加0.5分，本项最多得3分。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6" w:hRule="atLeast"/>
        </w:trPr>
        <w:tc>
          <w:tcPr>
            <w:tcW w:w="197"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tc>
        <w:tc>
          <w:tcPr>
            <w:tcW w:w="313"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zh-CN"/>
              </w:rPr>
            </w:pP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ascii="宋体" w:hAnsi="宋体" w:eastAsia="宋体" w:cs="宋体"/>
                <w:color w:val="auto"/>
                <w:sz w:val="20"/>
                <w:szCs w:val="20"/>
                <w:highlight w:val="none"/>
                <w:lang w:val="zh-CN" w:eastAsia="zh-CN"/>
              </w:rPr>
            </w:pPr>
            <w:r>
              <w:rPr>
                <w:rFonts w:ascii="宋体" w:hAnsi="宋体" w:eastAsia="宋体" w:cs="宋体"/>
                <w:color w:val="auto"/>
                <w:sz w:val="20"/>
                <w:szCs w:val="20"/>
                <w:highlight w:val="none"/>
                <w:lang w:val="zh-CN"/>
              </w:rPr>
              <w:t>相关证书</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cs="宋体"/>
                <w:i w:val="0"/>
                <w:iCs w:val="0"/>
                <w:snapToGrid w:val="0"/>
                <w:color w:val="000000"/>
                <w:kern w:val="0"/>
                <w:sz w:val="20"/>
                <w:szCs w:val="20"/>
                <w:u w:val="none"/>
                <w:lang w:val="en-US" w:eastAsia="zh-CN" w:bidi="ar"/>
              </w:rPr>
              <w:t>3</w:t>
            </w:r>
          </w:p>
        </w:tc>
        <w:tc>
          <w:tcPr>
            <w:tcW w:w="3805"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供应商具备有效的质量管理体系认证证书、信息安全管理体系认证证书、信息技术服务管理体系认证证书，每提供一个得1分，最多得3分。</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402"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b/>
                <w:bCs/>
                <w:i w:val="0"/>
                <w:iCs w:val="0"/>
                <w:snapToGrid w:val="0"/>
                <w:color w:val="000000"/>
                <w:kern w:val="0"/>
                <w:sz w:val="20"/>
                <w:szCs w:val="20"/>
                <w:u w:val="none"/>
                <w:lang w:val="en-US" w:eastAsia="zh-CN" w:bidi="ar"/>
              </w:rPr>
              <w:t>注：提供认证证书复印件及全国认证认可信息公共服务平台查询截图，加盖投标人公章，</w:t>
            </w:r>
            <w:r>
              <w:rPr>
                <w:rFonts w:hint="eastAsia" w:ascii="宋体" w:hAnsi="宋体" w:cs="宋体"/>
                <w:b/>
                <w:bCs/>
                <w:color w:val="auto"/>
                <w:sz w:val="20"/>
                <w:szCs w:val="20"/>
                <w:highlight w:val="none"/>
              </w:rPr>
              <w:t>未按要求提供或不提供不得分</w:t>
            </w:r>
            <w:r>
              <w:rPr>
                <w:rFonts w:hint="eastAsia" w:ascii="宋体" w:hAnsi="宋体" w:cs="宋体"/>
                <w:b/>
                <w:bCs/>
                <w:color w:val="auto"/>
                <w:sz w:val="20"/>
                <w:szCs w:val="20"/>
                <w:highlight w:val="none"/>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11" w:hRule="atLeast"/>
        </w:trPr>
        <w:tc>
          <w:tcPr>
            <w:tcW w:w="197"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0000"/>
                <w:kern w:val="0"/>
                <w:sz w:val="20"/>
                <w:szCs w:val="20"/>
                <w:u w:val="none"/>
                <w:lang w:val="en-US" w:eastAsia="zh-CN" w:bidi="ar"/>
              </w:rPr>
            </w:pPr>
          </w:p>
        </w:tc>
        <w:tc>
          <w:tcPr>
            <w:tcW w:w="313"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zh-CN"/>
              </w:rPr>
            </w:pP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eastAsia="宋体" w:cs="宋体"/>
                <w:color w:val="auto"/>
                <w:sz w:val="20"/>
                <w:szCs w:val="20"/>
                <w:highlight w:val="none"/>
                <w:lang w:val="en-US" w:eastAsia="zh-CN"/>
              </w:rPr>
            </w:pPr>
            <w:r>
              <w:rPr>
                <w:rFonts w:hint="eastAsia" w:ascii="宋体" w:hAnsi="宋体" w:eastAsia="宋体" w:cs="宋体"/>
                <w:color w:val="auto"/>
                <w:sz w:val="20"/>
                <w:szCs w:val="20"/>
                <w:highlight w:val="none"/>
                <w:lang w:val="en-US" w:eastAsia="zh-CN"/>
              </w:rPr>
              <w:t>项目拟配备人员</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cs="宋体"/>
                <w:i w:val="0"/>
                <w:iCs w:val="0"/>
                <w:snapToGrid w:val="0"/>
                <w:color w:val="000000"/>
                <w:kern w:val="0"/>
                <w:sz w:val="20"/>
                <w:szCs w:val="20"/>
                <w:u w:val="none"/>
                <w:lang w:val="en-US" w:eastAsia="zh-CN" w:bidi="ar"/>
              </w:rPr>
            </w:pPr>
            <w:r>
              <w:rPr>
                <w:rFonts w:hint="eastAsia" w:ascii="宋体" w:hAnsi="宋体" w:cs="宋体"/>
                <w:i w:val="0"/>
                <w:iCs w:val="0"/>
                <w:snapToGrid w:val="0"/>
                <w:color w:val="000000"/>
                <w:kern w:val="0"/>
                <w:sz w:val="20"/>
                <w:szCs w:val="20"/>
                <w:u w:val="none"/>
                <w:lang w:val="en-US" w:eastAsia="zh-CN" w:bidi="ar"/>
              </w:rPr>
              <w:t>4</w:t>
            </w:r>
          </w:p>
        </w:tc>
        <w:tc>
          <w:tcPr>
            <w:tcW w:w="3805" w:type="pct"/>
            <w:noWrap w:val="0"/>
            <w:vAlign w:val="center"/>
          </w:tcPr>
          <w:p>
            <w:pPr>
              <w:keepNext w:val="0"/>
              <w:keepLines w:val="0"/>
              <w:pageBreakBefore w:val="0"/>
              <w:widowControl/>
              <w:suppressLineNumbers w:val="0"/>
              <w:kinsoku/>
              <w:wordWrap/>
              <w:overflowPunct/>
              <w:topLinePunct w:val="0"/>
              <w:bidi w:val="0"/>
              <w:adjustRightInd/>
              <w:snapToGrid/>
              <w:spacing w:line="240" w:lineRule="auto"/>
              <w:ind w:firstLine="400" w:firstLineChars="200"/>
              <w:jc w:val="left"/>
              <w:rPr>
                <w:rFonts w:hint="default" w:ascii="宋体" w:hAnsi="宋体" w:eastAsia="宋体" w:cs="宋体"/>
                <w:i w:val="0"/>
                <w:iCs w:val="0"/>
                <w:snapToGrid w:val="0"/>
                <w:color w:val="000000"/>
                <w:kern w:val="0"/>
                <w:sz w:val="20"/>
                <w:szCs w:val="20"/>
                <w:u w:val="none"/>
                <w:lang w:val="en-US" w:eastAsia="zh-CN" w:bidi="ar"/>
              </w:rPr>
            </w:pPr>
            <w:r>
              <w:rPr>
                <w:rStyle w:val="20"/>
                <w:rFonts w:hint="eastAsia"/>
                <w:snapToGrid w:val="0"/>
                <w:color w:val="000000"/>
                <w:sz w:val="20"/>
                <w:szCs w:val="20"/>
                <w:lang w:val="en-US" w:eastAsia="zh-CN" w:bidi="ar"/>
              </w:rPr>
              <w:t>1、</w:t>
            </w:r>
            <w:r>
              <w:rPr>
                <w:rFonts w:hint="eastAsia" w:ascii="宋体" w:hAnsi="宋体" w:eastAsia="宋体" w:cs="宋体"/>
                <w:i w:val="0"/>
                <w:iCs w:val="0"/>
                <w:snapToGrid w:val="0"/>
                <w:color w:val="000000"/>
                <w:kern w:val="0"/>
                <w:sz w:val="20"/>
                <w:szCs w:val="20"/>
                <w:u w:val="none"/>
                <w:lang w:val="en-US" w:eastAsia="zh-CN" w:bidi="ar"/>
              </w:rPr>
              <w:t>根据投标人明确本项目的项目负责人（</w:t>
            </w:r>
            <w:r>
              <w:rPr>
                <w:rStyle w:val="20"/>
                <w:snapToGrid w:val="0"/>
                <w:color w:val="000000"/>
                <w:sz w:val="20"/>
                <w:szCs w:val="20"/>
                <w:lang w:val="en-US" w:eastAsia="zh-CN" w:bidi="ar"/>
              </w:rPr>
              <w:t>项目管理人员</w:t>
            </w:r>
            <w:r>
              <w:rPr>
                <w:rFonts w:hint="eastAsia" w:ascii="宋体" w:hAnsi="宋体" w:eastAsia="宋体" w:cs="宋体"/>
                <w:i w:val="0"/>
                <w:iCs w:val="0"/>
                <w:snapToGrid w:val="0"/>
                <w:color w:val="000000"/>
                <w:kern w:val="0"/>
                <w:sz w:val="20"/>
                <w:szCs w:val="20"/>
                <w:u w:val="none"/>
                <w:lang w:val="en-US" w:eastAsia="zh-CN" w:bidi="ar"/>
              </w:rPr>
              <w:t>），具有</w:t>
            </w:r>
            <w:r>
              <w:rPr>
                <w:rStyle w:val="20"/>
                <w:snapToGrid w:val="0"/>
                <w:color w:val="000000"/>
                <w:sz w:val="20"/>
                <w:szCs w:val="20"/>
                <w:lang w:val="en-US" w:eastAsia="zh-CN" w:bidi="ar"/>
              </w:rPr>
              <w:t>信息化类高级工程师职称证书或信息系统项目管理师证书</w:t>
            </w:r>
            <w:r>
              <w:rPr>
                <w:rFonts w:hint="eastAsia" w:ascii="宋体" w:hAnsi="宋体" w:eastAsia="宋体" w:cs="宋体"/>
                <w:i w:val="0"/>
                <w:iCs w:val="0"/>
                <w:snapToGrid w:val="0"/>
                <w:color w:val="000000"/>
                <w:kern w:val="0"/>
                <w:sz w:val="20"/>
                <w:szCs w:val="20"/>
                <w:u w:val="none"/>
                <w:lang w:val="en-US" w:eastAsia="zh-CN" w:bidi="ar"/>
              </w:rPr>
              <w:t>，得1分</w:t>
            </w:r>
            <w:r>
              <w:rPr>
                <w:rStyle w:val="20"/>
                <w:rFonts w:hint="eastAsia"/>
                <w:snapToGrid w:val="0"/>
                <w:color w:val="000000"/>
                <w:sz w:val="20"/>
                <w:szCs w:val="20"/>
                <w:lang w:val="en-US" w:eastAsia="zh-CN" w:bidi="ar"/>
              </w:rPr>
              <w:t>。</w:t>
            </w:r>
          </w:p>
          <w:p>
            <w:pPr>
              <w:keepNext w:val="0"/>
              <w:keepLines w:val="0"/>
              <w:pageBreakBefore w:val="0"/>
              <w:widowControl/>
              <w:suppressLineNumbers w:val="0"/>
              <w:kinsoku/>
              <w:wordWrap/>
              <w:overflowPunct/>
              <w:topLinePunct w:val="0"/>
              <w:bidi w:val="0"/>
              <w:adjustRightInd/>
              <w:snapToGrid/>
              <w:spacing w:line="240" w:lineRule="auto"/>
              <w:ind w:firstLine="400" w:firstLineChars="200"/>
              <w:jc w:val="left"/>
              <w:rPr>
                <w:rFonts w:hint="default" w:ascii="宋体" w:hAnsi="宋体" w:eastAsia="宋体" w:cs="宋体"/>
                <w:i w:val="0"/>
                <w:iCs w:val="0"/>
                <w:snapToGrid w:val="0"/>
                <w:color w:val="000000"/>
                <w:kern w:val="0"/>
                <w:sz w:val="20"/>
                <w:szCs w:val="20"/>
                <w:u w:val="none"/>
                <w:lang w:val="en-US" w:eastAsia="zh-CN" w:bidi="ar"/>
              </w:rPr>
            </w:pPr>
            <w:r>
              <w:rPr>
                <w:rStyle w:val="20"/>
                <w:rFonts w:hint="eastAsia"/>
                <w:snapToGrid w:val="0"/>
                <w:color w:val="000000"/>
                <w:sz w:val="20"/>
                <w:szCs w:val="20"/>
                <w:lang w:val="en-US" w:eastAsia="zh-CN" w:bidi="ar"/>
              </w:rPr>
              <w:t>2、</w:t>
            </w:r>
            <w:r>
              <w:rPr>
                <w:rFonts w:hint="eastAsia" w:ascii="宋体" w:hAnsi="宋体" w:eastAsia="宋体" w:cs="宋体"/>
                <w:i w:val="0"/>
                <w:iCs w:val="0"/>
                <w:snapToGrid w:val="0"/>
                <w:color w:val="000000"/>
                <w:kern w:val="0"/>
                <w:sz w:val="20"/>
                <w:szCs w:val="20"/>
                <w:u w:val="none"/>
                <w:lang w:val="en-US" w:eastAsia="zh-CN" w:bidi="ar"/>
              </w:rPr>
              <w:t>拟投入本项目的项目实施人员（除项目负责人外）</w:t>
            </w:r>
            <w:r>
              <w:rPr>
                <w:rStyle w:val="20"/>
                <w:snapToGrid w:val="0"/>
                <w:color w:val="000000"/>
                <w:sz w:val="20"/>
                <w:szCs w:val="20"/>
                <w:lang w:val="en-US" w:eastAsia="zh-CN" w:bidi="ar"/>
              </w:rPr>
              <w:t>具有网络工程师证书、信息安全工程师证书、信息化类中级工程师证书的，</w:t>
            </w:r>
            <w:r>
              <w:rPr>
                <w:rStyle w:val="20"/>
                <w:rFonts w:hint="eastAsia"/>
                <w:snapToGrid w:val="0"/>
                <w:color w:val="000000"/>
                <w:sz w:val="20"/>
                <w:szCs w:val="20"/>
                <w:lang w:val="en-US" w:eastAsia="zh-CN" w:bidi="ar"/>
              </w:rPr>
              <w:t>每提供1个，得1分，最多得3分。</w:t>
            </w:r>
          </w:p>
          <w:p>
            <w:pPr>
              <w:keepNext w:val="0"/>
              <w:keepLines w:val="0"/>
              <w:pageBreakBefore w:val="0"/>
              <w:widowControl/>
              <w:suppressLineNumbers w:val="0"/>
              <w:kinsoku/>
              <w:wordWrap/>
              <w:overflowPunct/>
              <w:topLinePunct w:val="0"/>
              <w:bidi w:val="0"/>
              <w:adjustRightInd/>
              <w:snapToGrid/>
              <w:spacing w:line="240" w:lineRule="auto"/>
              <w:ind w:firstLine="402" w:firstLineChars="200"/>
              <w:jc w:val="left"/>
              <w:rPr>
                <w:rFonts w:hint="eastAsia" w:ascii="宋体" w:hAnsi="宋体" w:eastAsia="宋体" w:cs="宋体"/>
                <w:b/>
                <w:bCs/>
                <w:i w:val="0"/>
                <w:iCs w:val="0"/>
                <w:snapToGrid w:val="0"/>
                <w:color w:val="000000"/>
                <w:kern w:val="0"/>
                <w:sz w:val="20"/>
                <w:szCs w:val="20"/>
                <w:u w:val="none"/>
                <w:lang w:val="en-US" w:eastAsia="zh-CN" w:bidi="ar"/>
              </w:rPr>
            </w:pPr>
            <w:r>
              <w:rPr>
                <w:rStyle w:val="20"/>
                <w:rFonts w:hint="eastAsia" w:ascii="宋体" w:hAnsi="宋体" w:eastAsia="宋体" w:cs="宋体"/>
                <w:b/>
                <w:bCs/>
                <w:snapToGrid w:val="0"/>
                <w:color w:val="000000"/>
                <w:sz w:val="20"/>
                <w:szCs w:val="20"/>
                <w:lang w:val="en-US" w:eastAsia="zh-CN" w:bidi="ar"/>
              </w:rPr>
              <w:t>注：提供以上人员</w:t>
            </w:r>
            <w:r>
              <w:rPr>
                <w:rStyle w:val="20"/>
                <w:b/>
                <w:bCs/>
                <w:snapToGrid w:val="0"/>
                <w:color w:val="000000"/>
                <w:sz w:val="20"/>
                <w:szCs w:val="20"/>
                <w:lang w:val="en-US" w:eastAsia="zh-CN" w:bidi="ar"/>
              </w:rPr>
              <w:t>在有效期内的</w:t>
            </w:r>
            <w:r>
              <w:rPr>
                <w:rStyle w:val="20"/>
                <w:rFonts w:hint="eastAsia"/>
                <w:b/>
                <w:bCs/>
                <w:snapToGrid w:val="0"/>
                <w:color w:val="000000"/>
                <w:sz w:val="20"/>
                <w:szCs w:val="20"/>
                <w:lang w:val="en-US" w:eastAsia="zh-CN" w:bidi="ar"/>
              </w:rPr>
              <w:t>相关</w:t>
            </w:r>
            <w:r>
              <w:rPr>
                <w:rStyle w:val="20"/>
                <w:b/>
                <w:bCs/>
                <w:snapToGrid w:val="0"/>
                <w:color w:val="000000"/>
                <w:sz w:val="20"/>
                <w:szCs w:val="20"/>
                <w:lang w:val="en-US" w:eastAsia="zh-CN" w:bidi="ar"/>
              </w:rPr>
              <w:t>证书、</w:t>
            </w:r>
            <w:r>
              <w:rPr>
                <w:rStyle w:val="20"/>
                <w:rFonts w:hint="eastAsia" w:ascii="宋体" w:hAnsi="宋体" w:eastAsia="宋体" w:cs="宋体"/>
                <w:b/>
                <w:bCs/>
                <w:snapToGrid w:val="0"/>
                <w:color w:val="000000"/>
                <w:sz w:val="20"/>
                <w:szCs w:val="20"/>
                <w:lang w:val="en-US" w:eastAsia="zh-CN" w:bidi="ar"/>
              </w:rPr>
              <w:t>身份证复印件；</w:t>
            </w:r>
            <w:r>
              <w:rPr>
                <w:rStyle w:val="20"/>
                <w:b/>
                <w:bCs/>
                <w:snapToGrid w:val="0"/>
                <w:color w:val="000000"/>
                <w:sz w:val="20"/>
                <w:szCs w:val="20"/>
                <w:lang w:val="en-US" w:eastAsia="zh-CN" w:bidi="ar"/>
              </w:rPr>
              <w:t>项目</w:t>
            </w:r>
            <w:r>
              <w:rPr>
                <w:rStyle w:val="20"/>
                <w:rFonts w:hint="eastAsia"/>
                <w:b/>
                <w:bCs/>
                <w:snapToGrid w:val="0"/>
                <w:color w:val="000000"/>
                <w:sz w:val="20"/>
                <w:szCs w:val="20"/>
                <w:lang w:val="en-US" w:eastAsia="zh-CN" w:bidi="ar"/>
              </w:rPr>
              <w:t>负责人</w:t>
            </w:r>
            <w:r>
              <w:rPr>
                <w:rStyle w:val="20"/>
                <w:b/>
                <w:bCs/>
                <w:snapToGrid w:val="0"/>
                <w:color w:val="000000"/>
                <w:sz w:val="20"/>
                <w:szCs w:val="20"/>
                <w:lang w:val="en-US" w:eastAsia="zh-CN" w:bidi="ar"/>
              </w:rPr>
              <w:t>及项目实施人员，一人持多证的按一证计算，</w:t>
            </w:r>
            <w:r>
              <w:rPr>
                <w:rStyle w:val="20"/>
                <w:rFonts w:hint="eastAsia"/>
                <w:b/>
                <w:bCs/>
                <w:snapToGrid w:val="0"/>
                <w:color w:val="000000"/>
                <w:sz w:val="20"/>
                <w:szCs w:val="20"/>
                <w:lang w:val="en-US" w:eastAsia="zh-CN" w:bidi="ar"/>
              </w:rPr>
              <w:t>并</w:t>
            </w:r>
            <w:r>
              <w:rPr>
                <w:rStyle w:val="20"/>
                <w:b/>
                <w:bCs/>
                <w:snapToGrid w:val="0"/>
                <w:color w:val="000000"/>
                <w:sz w:val="20"/>
                <w:szCs w:val="20"/>
                <w:lang w:val="en-US" w:eastAsia="zh-CN" w:bidi="ar"/>
              </w:rPr>
              <w:t>提供</w:t>
            </w:r>
            <w:r>
              <w:rPr>
                <w:rStyle w:val="20"/>
                <w:rFonts w:hint="eastAsia" w:ascii="宋体" w:hAnsi="宋体" w:eastAsia="宋体" w:cs="宋体"/>
                <w:b/>
                <w:bCs/>
                <w:snapToGrid w:val="0"/>
                <w:color w:val="000000"/>
                <w:sz w:val="20"/>
                <w:szCs w:val="20"/>
                <w:lang w:val="en-US" w:eastAsia="zh-CN" w:bidi="ar"/>
              </w:rPr>
              <w:t>投标人为以上人员缴纳的近一年内任意2个月社保缴纳证明并加盖投标人公章。（以上评审要求的资料未提供或提供不全的不得分）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8" w:hRule="atLeast"/>
        </w:trPr>
        <w:tc>
          <w:tcPr>
            <w:tcW w:w="197" w:type="pct"/>
            <w:vMerge w:val="restar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eastAsia="宋体" w:cs="宋体"/>
                <w:i w:val="0"/>
                <w:iCs w:val="0"/>
                <w:snapToGrid w:val="0"/>
                <w:color w:val="000000"/>
                <w:kern w:val="0"/>
                <w:sz w:val="20"/>
                <w:szCs w:val="20"/>
                <w:u w:val="none"/>
                <w:lang w:val="en-US" w:eastAsia="zh-CN" w:bidi="ar"/>
              </w:rPr>
            </w:pPr>
            <w:r>
              <w:rPr>
                <w:rFonts w:hint="eastAsia" w:ascii="宋体" w:hAnsi="宋体" w:cs="宋体"/>
                <w:i w:val="0"/>
                <w:iCs w:val="0"/>
                <w:snapToGrid w:val="0"/>
                <w:color w:val="000000"/>
                <w:kern w:val="0"/>
                <w:sz w:val="20"/>
                <w:szCs w:val="20"/>
                <w:u w:val="none"/>
                <w:lang w:val="en-US" w:eastAsia="zh-CN" w:bidi="ar"/>
              </w:rPr>
              <w:t>3</w:t>
            </w:r>
          </w:p>
        </w:tc>
        <w:tc>
          <w:tcPr>
            <w:tcW w:w="313" w:type="pct"/>
            <w:vMerge w:val="restar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en-US" w:eastAsia="zh-CN"/>
              </w:rPr>
            </w:pPr>
            <w:r>
              <w:rPr>
                <w:rFonts w:hint="eastAsia" w:ascii="宋体" w:hAnsi="宋体" w:cs="宋体"/>
                <w:color w:val="auto"/>
                <w:sz w:val="20"/>
                <w:szCs w:val="20"/>
                <w:highlight w:val="none"/>
                <w:lang w:val="en-US" w:eastAsia="zh-CN"/>
              </w:rPr>
              <w:t>技术因素</w:t>
            </w: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color w:val="000000"/>
                <w:sz w:val="20"/>
                <w:szCs w:val="20"/>
                <w:u w:val="none"/>
              </w:rPr>
            </w:pPr>
          </w:p>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B050"/>
                <w:kern w:val="0"/>
                <w:sz w:val="20"/>
                <w:szCs w:val="20"/>
                <w:u w:val="none"/>
                <w:lang w:val="en-US" w:eastAsia="zh-CN" w:bidi="ar"/>
              </w:rPr>
            </w:pP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color w:val="000000"/>
                <w:sz w:val="20"/>
                <w:szCs w:val="20"/>
                <w:highlight w:val="white"/>
                <w:lang w:val="en-US" w:eastAsia="zh-CN"/>
              </w:rPr>
            </w:pPr>
            <w:r>
              <w:rPr>
                <w:rFonts w:hint="eastAsia" w:ascii="宋体" w:hAnsi="宋体" w:eastAsia="宋体" w:cs="宋体"/>
                <w:i w:val="0"/>
                <w:iCs w:val="0"/>
                <w:snapToGrid w:val="0"/>
                <w:color w:val="000000"/>
                <w:kern w:val="0"/>
                <w:sz w:val="20"/>
                <w:szCs w:val="20"/>
                <w:u w:val="none"/>
                <w:lang w:val="en-US" w:eastAsia="zh-CN" w:bidi="ar"/>
              </w:rPr>
              <w:t>技术指标响应情况</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cs="宋体"/>
                <w:i w:val="0"/>
                <w:iCs w:val="0"/>
                <w:snapToGrid w:val="0"/>
                <w:color w:val="000000"/>
                <w:kern w:val="0"/>
                <w:sz w:val="20"/>
                <w:szCs w:val="20"/>
                <w:u w:val="none"/>
                <w:lang w:val="en-US" w:eastAsia="zh-CN" w:bidi="ar"/>
              </w:rPr>
            </w:pPr>
            <w:r>
              <w:rPr>
                <w:rFonts w:hint="eastAsia" w:ascii="宋体" w:hAnsi="宋体" w:cs="宋体"/>
                <w:i w:val="0"/>
                <w:iCs w:val="0"/>
                <w:snapToGrid w:val="0"/>
                <w:color w:val="000000"/>
                <w:kern w:val="0"/>
                <w:sz w:val="20"/>
                <w:szCs w:val="20"/>
                <w:u w:val="none"/>
                <w:lang w:val="en-US" w:eastAsia="zh-CN" w:bidi="ar"/>
              </w:rPr>
              <w:t>10</w:t>
            </w:r>
          </w:p>
        </w:tc>
        <w:tc>
          <w:tcPr>
            <w:tcW w:w="3805" w:type="pct"/>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auto"/>
              <w:ind w:firstLine="400" w:firstLineChars="200"/>
              <w:jc w:val="left"/>
              <w:textAlignment w:val="auto"/>
              <w:rPr>
                <w:rFonts w:hint="eastAsia" w:ascii="宋体" w:hAnsi="宋体" w:eastAsia="宋体" w:cs="宋体"/>
                <w:color w:val="000000"/>
                <w:kern w:val="0"/>
                <w:sz w:val="20"/>
                <w:szCs w:val="20"/>
                <w:highlight w:val="none"/>
                <w:lang w:val="en-US" w:eastAsia="zh-CN" w:bidi="ar-SA"/>
              </w:rPr>
            </w:pPr>
            <w:r>
              <w:rPr>
                <w:rFonts w:hint="eastAsia" w:ascii="宋体" w:hAnsi="宋体" w:eastAsia="宋体" w:cs="宋体"/>
                <w:color w:val="000000"/>
                <w:kern w:val="0"/>
                <w:sz w:val="20"/>
                <w:szCs w:val="20"/>
                <w:highlight w:val="none"/>
                <w:lang w:val="en-US" w:eastAsia="zh-CN" w:bidi="ar-SA"/>
              </w:rPr>
              <w:t>招标文件中带“★”的条款为重要技术指标、参数，未带“★”的条款为一般技术指标、参数。</w:t>
            </w:r>
          </w:p>
          <w:p>
            <w:pPr>
              <w:keepNext w:val="0"/>
              <w:keepLines w:val="0"/>
              <w:pageBreakBefore w:val="0"/>
              <w:widowControl/>
              <w:suppressLineNumbers w:val="0"/>
              <w:kinsoku/>
              <w:wordWrap/>
              <w:overflowPunct/>
              <w:topLinePunct w:val="0"/>
              <w:autoSpaceDE/>
              <w:autoSpaceDN/>
              <w:bidi w:val="0"/>
              <w:adjustRightInd/>
              <w:snapToGrid/>
              <w:spacing w:line="240" w:lineRule="auto"/>
              <w:ind w:firstLine="400" w:firstLineChars="200"/>
              <w:jc w:val="left"/>
              <w:textAlignment w:val="auto"/>
              <w:rPr>
                <w:rFonts w:hint="eastAsia" w:ascii="宋体" w:hAnsi="宋体" w:eastAsia="宋体" w:cs="宋体"/>
                <w:color w:val="000000"/>
                <w:kern w:val="0"/>
                <w:sz w:val="20"/>
                <w:szCs w:val="20"/>
                <w:highlight w:val="none"/>
                <w:lang w:val="en-US" w:eastAsia="zh-CN" w:bidi="ar-SA"/>
              </w:rPr>
            </w:pPr>
            <w:r>
              <w:rPr>
                <w:rFonts w:hint="eastAsia" w:ascii="宋体" w:hAnsi="宋体" w:eastAsia="宋体" w:cs="宋体"/>
                <w:color w:val="000000"/>
                <w:kern w:val="0"/>
                <w:sz w:val="20"/>
                <w:szCs w:val="20"/>
                <w:highlight w:val="none"/>
                <w:lang w:val="en-US" w:eastAsia="zh-CN" w:bidi="ar-SA"/>
              </w:rPr>
              <w:t>供应商拟提供产品参数必须详细列明型号、品牌及参数具体数值，未列明不得分。按要求提供招标文件要求的所有技术指标和参数的得10分，以此为基础，重要技术指标、参数低于招标文件规定的，每有一项扣1分；一般技术指标、参数低于招标文件的，每有一项扣0.5分，减完为止，不计负分。</w:t>
            </w:r>
          </w:p>
          <w:p>
            <w:pPr>
              <w:keepNext w:val="0"/>
              <w:keepLines w:val="0"/>
              <w:pageBreakBefore w:val="0"/>
              <w:widowControl/>
              <w:suppressLineNumbers w:val="0"/>
              <w:kinsoku/>
              <w:wordWrap/>
              <w:overflowPunct/>
              <w:topLinePunct w:val="0"/>
              <w:bidi w:val="0"/>
              <w:adjustRightInd/>
              <w:snapToGrid/>
              <w:spacing w:line="240" w:lineRule="auto"/>
              <w:ind w:firstLine="402" w:firstLineChars="200"/>
              <w:jc w:val="left"/>
              <w:rPr>
                <w:rStyle w:val="20"/>
                <w:rFonts w:hint="eastAsia" w:ascii="宋体" w:hAnsi="宋体" w:eastAsia="宋体" w:cs="宋体"/>
                <w:b/>
                <w:bCs/>
                <w:snapToGrid w:val="0"/>
                <w:color w:val="000000"/>
                <w:sz w:val="20"/>
                <w:szCs w:val="20"/>
                <w:lang w:val="en-US" w:eastAsia="zh-CN" w:bidi="ar"/>
              </w:rPr>
            </w:pPr>
            <w:r>
              <w:rPr>
                <w:rFonts w:hint="eastAsia" w:ascii="宋体" w:hAnsi="宋体" w:eastAsia="宋体" w:cs="宋体"/>
                <w:b/>
                <w:bCs/>
                <w:color w:val="000000"/>
                <w:kern w:val="0"/>
                <w:sz w:val="20"/>
                <w:szCs w:val="20"/>
                <w:highlight w:val="none"/>
                <w:lang w:val="en-US" w:eastAsia="zh-CN" w:bidi="ar-SA"/>
              </w:rPr>
              <w:t>注：投标人应逐条对技术参数在“技术标响应表”中明确作出“无偏离”“负偏离”等应答，带“★”项的技术指标、参数产品须提供与其产品一致的佐证材料（佐证材料包括：不限于经生产厂家加盖公章的产品彩页或检测报告或原厂商的官方技术白皮书（官网功能截图）或原厂商所做的技术参数说明（产品说明书）等证明材料，并按要求放入投标文件中，予以证明参数的技术响应性，未提供证明材料或证明材料模糊无法辨认的视为低于技术指标参数），对于未提供“★”项参数佐证材料的或其佐证材料无法实质性证明“★”项参数的视为负偏离，按照以上标准进行扣分。</w:t>
            </w:r>
            <w:r>
              <w:rPr>
                <w:rFonts w:hint="eastAsia" w:ascii="宋体" w:hAnsi="宋体" w:eastAsia="宋体" w:cs="宋体"/>
                <w:b/>
                <w:bCs/>
                <w:i w:val="0"/>
                <w:iCs w:val="0"/>
                <w:snapToGrid w:val="0"/>
                <w:color w:val="000000"/>
                <w:kern w:val="0"/>
                <w:sz w:val="20"/>
                <w:szCs w:val="20"/>
                <w:u w:val="none"/>
                <w:lang w:val="en-US" w:eastAsia="zh-CN" w:bidi="ar"/>
              </w:rPr>
              <w:t>因虚假应标造成中标的，供货阶段一经发现，由供应商承担全部责任。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4" w:hRule="atLeast"/>
        </w:trPr>
        <w:tc>
          <w:tcPr>
            <w:tcW w:w="197"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0000"/>
                <w:kern w:val="0"/>
                <w:sz w:val="20"/>
                <w:szCs w:val="20"/>
                <w:u w:val="none"/>
                <w:lang w:val="en-US" w:eastAsia="zh-CN" w:bidi="ar"/>
              </w:rPr>
            </w:pPr>
          </w:p>
        </w:tc>
        <w:tc>
          <w:tcPr>
            <w:tcW w:w="313"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color w:val="auto"/>
                <w:sz w:val="20"/>
                <w:szCs w:val="20"/>
                <w:highlight w:val="none"/>
                <w:lang w:val="zh-CN"/>
              </w:rPr>
            </w:pP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实施方案及措施</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cs="宋体"/>
                <w:i w:val="0"/>
                <w:iCs w:val="0"/>
                <w:snapToGrid w:val="0"/>
                <w:color w:val="000000"/>
                <w:kern w:val="0"/>
                <w:sz w:val="20"/>
                <w:szCs w:val="20"/>
                <w:u w:val="none"/>
                <w:lang w:val="en-US" w:eastAsia="zh-CN" w:bidi="ar"/>
              </w:rPr>
            </w:pPr>
            <w:r>
              <w:rPr>
                <w:rFonts w:hint="eastAsia" w:ascii="宋体" w:hAnsi="宋体" w:cs="宋体"/>
                <w:i w:val="0"/>
                <w:iCs w:val="0"/>
                <w:snapToGrid w:val="0"/>
                <w:color w:val="000000"/>
                <w:kern w:val="0"/>
                <w:sz w:val="20"/>
                <w:szCs w:val="20"/>
                <w:u w:val="none"/>
                <w:lang w:val="en-US" w:eastAsia="zh-CN" w:bidi="ar"/>
              </w:rPr>
              <w:t>10</w:t>
            </w:r>
          </w:p>
        </w:tc>
        <w:tc>
          <w:tcPr>
            <w:tcW w:w="3805"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Style w:val="20"/>
                <w:rFonts w:hint="eastAsia" w:ascii="宋体" w:hAnsi="宋体" w:eastAsia="宋体" w:cs="宋体"/>
                <w:b/>
                <w:bCs/>
                <w:snapToGrid w:val="0"/>
                <w:color w:val="000000"/>
                <w:sz w:val="20"/>
                <w:szCs w:val="20"/>
                <w:lang w:val="en-US" w:eastAsia="zh-CN" w:bidi="ar"/>
              </w:rPr>
            </w:pPr>
            <w:r>
              <w:rPr>
                <w:rFonts w:hint="eastAsia" w:ascii="宋体" w:hAnsi="宋体" w:eastAsia="宋体" w:cs="宋体"/>
                <w:i w:val="0"/>
                <w:iCs w:val="0"/>
                <w:snapToGrid w:val="0"/>
                <w:color w:val="000000"/>
                <w:kern w:val="0"/>
                <w:sz w:val="20"/>
                <w:szCs w:val="20"/>
                <w:u w:val="none"/>
                <w:lang w:val="en-US" w:eastAsia="zh-CN" w:bidi="ar"/>
              </w:rPr>
              <w:t>供应商针对本项目提供货物的实施方案内容包括：项目理解、项目现状及概述、机房设备迁移、办公网络割接、配电改造、无线网络覆盖、机房建设效果图、平面图等方案。</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供应商所提供的项目实施方案包括但不限于上述内容，且内容详实完整、能够落实到位、贴合项目实际情况，能更好的满足采购需求的得10分；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供应商所提供的项目实施方案包括上述内容，且内容完整，描述清晰，完全满足采购需求的得7分；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供应商所提供的项目实施方案包括上述内容，且内容基本完整，描述清晰，基本满足采购需求的得5分；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供应商所提供的项目实施方案内容描述简单不具体没有对上述各项内容进行详细的叙述，不能完全满足采购需求的得3分；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方案缺项，内容不完整，表述不明确，与项目实际情况明显不符，不满足采购需求的得1分；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简单照抄招标文件需求和评分标准内容、无具体描述，或未提供相应内容的不得分。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2" w:hRule="atLeast"/>
        </w:trPr>
        <w:tc>
          <w:tcPr>
            <w:tcW w:w="197"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color w:val="000000"/>
                <w:sz w:val="20"/>
                <w:szCs w:val="20"/>
                <w:u w:val="none"/>
              </w:rPr>
            </w:pPr>
          </w:p>
        </w:tc>
        <w:tc>
          <w:tcPr>
            <w:tcW w:w="313"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color w:val="000000"/>
                <w:sz w:val="20"/>
                <w:szCs w:val="20"/>
                <w:u w:val="none"/>
              </w:rPr>
            </w:pP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b w:val="0"/>
                <w:bCs w:val="0"/>
                <w:color w:val="000000"/>
                <w:kern w:val="0"/>
                <w:sz w:val="20"/>
                <w:szCs w:val="20"/>
                <w:highlight w:val="none"/>
                <w:lang w:val="en-US" w:eastAsia="zh-CN" w:bidi="ar-SA"/>
              </w:rPr>
              <w:t>进度计划及保障措施</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3805"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根据项目的供货计划安排、进度计划、工作部署、各阶段实施流程，具有针对本项目所制定的进度计划及保障措施、供货计划、运输过程中货品保护等内容进行表述。</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对本项目供货计划安排得当、紧密合理、逻辑清晰，进度计划详细、明了、准确到位，有完整详细的进度计划表，能在服务期内有质量的完成各项工作，工作部署安排有很强的针对性、重点突出，实施流程可行性强、科学得当，完全满足工作要求，保障措施完整详实、进度保障专人负责、任务节点划分明确合理、详细、具体，突出重点、针对性强、完全可行的得10分；</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对以上供货计划安排、进度计划、工作部署各阶段实施流程综合规划步骤清晰、安排合理，有一定的操作性，保障措施基本全面、结合本项目的针对性较强，各项工作分解较为详细，较为可行的，得能够满足项目需求的得7分；</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对本项目供货计划安排可行、进度计划表欠缺合理度，可以满足工作要求保障。措施一般全面、结合本项目的针对性较差，各项工作分解较粗，基本可行的得5分；</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供货计划安排不够详细、实施流程及进度计划安排不够明确的，保障措施不全面、结合本项目的针对性差，各项工作分解不全面，不可行的得3分。</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所提供的应急方案缺项较多且与本项目无关联的得1分。</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default" w:ascii="宋体" w:hAnsi="宋体" w:eastAsia="宋体" w:cs="宋体"/>
                <w:i w:val="0"/>
                <w:iCs w:val="0"/>
                <w:color w:val="000000"/>
                <w:sz w:val="20"/>
                <w:szCs w:val="20"/>
                <w:u w:val="none"/>
                <w:lang w:val="en-US"/>
              </w:rPr>
            </w:pPr>
            <w:r>
              <w:rPr>
                <w:rFonts w:hint="eastAsia" w:ascii="宋体" w:hAnsi="宋体" w:eastAsia="宋体" w:cs="宋体"/>
                <w:i w:val="0"/>
                <w:iCs w:val="0"/>
                <w:snapToGrid w:val="0"/>
                <w:color w:val="000000"/>
                <w:kern w:val="0"/>
                <w:sz w:val="20"/>
                <w:szCs w:val="20"/>
                <w:u w:val="none"/>
                <w:lang w:val="en-US" w:eastAsia="zh-CN" w:bidi="ar"/>
              </w:rPr>
              <w:t>简单照抄招标文件需求和评分标准内容、无具体描述，或未提供相应内容的不得分。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80" w:hRule="atLeast"/>
        </w:trPr>
        <w:tc>
          <w:tcPr>
            <w:tcW w:w="197"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eastAsia="宋体" w:cs="宋体"/>
                <w:i w:val="0"/>
                <w:iCs w:val="0"/>
                <w:snapToGrid w:val="0"/>
                <w:color w:val="000000"/>
                <w:kern w:val="0"/>
                <w:sz w:val="20"/>
                <w:szCs w:val="20"/>
                <w:u w:val="none"/>
                <w:lang w:val="en-US" w:eastAsia="zh-CN" w:bidi="ar"/>
              </w:rPr>
            </w:pPr>
          </w:p>
        </w:tc>
        <w:tc>
          <w:tcPr>
            <w:tcW w:w="313"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B050"/>
                <w:kern w:val="0"/>
                <w:sz w:val="20"/>
                <w:szCs w:val="20"/>
                <w:u w:val="none"/>
                <w:lang w:val="en-US" w:eastAsia="zh-CN" w:bidi="ar"/>
              </w:rPr>
            </w:pP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b w:val="0"/>
                <w:bCs w:val="0"/>
                <w:i w:val="0"/>
                <w:iCs w:val="0"/>
                <w:snapToGrid w:val="0"/>
                <w:color w:val="000000"/>
                <w:kern w:val="0"/>
                <w:sz w:val="20"/>
                <w:szCs w:val="20"/>
                <w:u w:val="none"/>
                <w:lang w:val="en-US" w:eastAsia="zh-CN" w:bidi="ar"/>
              </w:rPr>
              <w:t>安装及调试方案及措施</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eastAsia="宋体" w:cs="宋体"/>
                <w:i w:val="0"/>
                <w:iCs w:val="0"/>
                <w:snapToGrid w:val="0"/>
                <w:color w:val="000000"/>
                <w:kern w:val="0"/>
                <w:sz w:val="20"/>
                <w:szCs w:val="20"/>
                <w:u w:val="none"/>
                <w:lang w:val="en-US" w:eastAsia="zh-CN" w:bidi="ar"/>
              </w:rPr>
            </w:pPr>
            <w:r>
              <w:rPr>
                <w:rFonts w:hint="eastAsia" w:ascii="宋体" w:hAnsi="宋体" w:cs="宋体"/>
                <w:i w:val="0"/>
                <w:iCs w:val="0"/>
                <w:snapToGrid w:val="0"/>
                <w:color w:val="000000"/>
                <w:kern w:val="0"/>
                <w:sz w:val="20"/>
                <w:szCs w:val="20"/>
                <w:u w:val="none"/>
                <w:lang w:val="en-US" w:eastAsia="zh-CN" w:bidi="ar"/>
              </w:rPr>
              <w:t>10</w:t>
            </w:r>
          </w:p>
        </w:tc>
        <w:tc>
          <w:tcPr>
            <w:tcW w:w="3805"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供应商针对本项目提供的设备安装及调试方案，方案包含但不限于设备运输安全管理制度、配送服务方案、安装与调试施工方案等内容。 </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供应商所提供的设备安装及调试方案涵盖但不限于上述内容，内容详细具体，能提出相关建设性意见，能更好的满足项目采购需求的得10分； </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供应商所提供的设备安装及调试方案涵盖上述内容，叙述清晰，完全满足项目采购需求的得7分 ； </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供应商所提供的设备安装及调试方案涵盖上述内容，内容合理、描述逻辑不强，基本满足项目 采购需求的得5分； </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供应商所提供的设备安装及调试方案涵盖上述内容，但个别内容存在不合理、描述不清晰的得3分 ； </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供应商所提供的设备安装及调试方案缺项较多，与本项目无明显关联的得1分； </w:t>
            </w:r>
          </w:p>
          <w:p>
            <w:pPr>
              <w:keepNext w:val="0"/>
              <w:keepLines w:val="0"/>
              <w:pageBreakBefore w:val="0"/>
              <w:widowControl/>
              <w:suppressLineNumbers w:val="0"/>
              <w:kinsoku/>
              <w:wordWrap/>
              <w:overflowPunct/>
              <w:topLinePunct w:val="0"/>
              <w:autoSpaceDE w:val="0"/>
              <w:autoSpaceDN w:val="0"/>
              <w:bidi w:val="0"/>
              <w:adjustRightInd/>
              <w:snapToGrid/>
              <w:spacing w:line="280" w:lineRule="exact"/>
              <w:ind w:firstLine="400" w:firstLineChars="200"/>
              <w:jc w:val="left"/>
              <w:textAlignment w:val="center"/>
              <w:rPr>
                <w:rFonts w:hint="eastAsia" w:ascii="宋体" w:hAnsi="宋体" w:eastAsia="宋体" w:cs="宋体"/>
                <w:color w:val="00B050"/>
                <w:kern w:val="0"/>
                <w:sz w:val="20"/>
                <w:szCs w:val="20"/>
                <w:highlight w:val="none"/>
                <w:lang w:val="en-US" w:eastAsia="zh-CN" w:bidi="ar-SA"/>
              </w:rPr>
            </w:pPr>
            <w:r>
              <w:rPr>
                <w:rFonts w:hint="eastAsia" w:ascii="宋体" w:hAnsi="宋体" w:eastAsia="宋体" w:cs="宋体"/>
                <w:i w:val="0"/>
                <w:iCs w:val="0"/>
                <w:snapToGrid w:val="0"/>
                <w:color w:val="000000"/>
                <w:kern w:val="0"/>
                <w:sz w:val="20"/>
                <w:szCs w:val="20"/>
                <w:u w:val="none"/>
                <w:lang w:val="en-US" w:eastAsia="zh-CN" w:bidi="ar"/>
              </w:rPr>
              <w:t>简单照抄招标文件需求和评分标准内容、无具体描述，或未提供相应内容的不得分。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2" w:hRule="atLeast"/>
        </w:trPr>
        <w:tc>
          <w:tcPr>
            <w:tcW w:w="197"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tc>
        <w:tc>
          <w:tcPr>
            <w:tcW w:w="313"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B050"/>
                <w:kern w:val="0"/>
                <w:sz w:val="20"/>
                <w:szCs w:val="20"/>
                <w:u w:val="none"/>
                <w:lang w:val="en-US" w:eastAsia="zh-CN" w:bidi="ar"/>
              </w:rPr>
            </w:pP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b w:val="0"/>
                <w:bCs w:val="0"/>
                <w:i w:val="0"/>
                <w:iCs w:val="0"/>
                <w:snapToGrid w:val="0"/>
                <w:color w:val="000000"/>
                <w:kern w:val="0"/>
                <w:sz w:val="20"/>
                <w:szCs w:val="20"/>
                <w:u w:val="none"/>
                <w:lang w:val="en-US" w:eastAsia="zh-CN" w:bidi="ar"/>
              </w:rPr>
            </w:pPr>
            <w:r>
              <w:rPr>
                <w:rFonts w:hint="eastAsia" w:ascii="宋体" w:hAnsi="宋体" w:eastAsia="宋体" w:cs="宋体"/>
                <w:b w:val="0"/>
                <w:bCs w:val="0"/>
                <w:i w:val="0"/>
                <w:iCs w:val="0"/>
                <w:snapToGrid w:val="0"/>
                <w:color w:val="000000"/>
                <w:kern w:val="0"/>
                <w:sz w:val="20"/>
                <w:szCs w:val="20"/>
                <w:u w:val="none"/>
                <w:lang w:val="en-US" w:eastAsia="zh-CN" w:bidi="ar"/>
              </w:rPr>
              <w:t>应急方案及措施</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cs="宋体"/>
                <w:b w:val="0"/>
                <w:bCs w:val="0"/>
                <w:i w:val="0"/>
                <w:iCs w:val="0"/>
                <w:snapToGrid w:val="0"/>
                <w:color w:val="00B050"/>
                <w:kern w:val="0"/>
                <w:sz w:val="20"/>
                <w:szCs w:val="20"/>
                <w:u w:val="none"/>
                <w:lang w:val="en-US" w:eastAsia="zh-CN" w:bidi="ar"/>
              </w:rPr>
            </w:pPr>
            <w:r>
              <w:rPr>
                <w:rFonts w:hint="eastAsia" w:ascii="宋体" w:hAnsi="宋体" w:cs="宋体"/>
                <w:b w:val="0"/>
                <w:bCs w:val="0"/>
                <w:i w:val="0"/>
                <w:iCs w:val="0"/>
                <w:snapToGrid w:val="0"/>
                <w:color w:val="000000"/>
                <w:kern w:val="0"/>
                <w:sz w:val="20"/>
                <w:szCs w:val="20"/>
                <w:u w:val="none"/>
                <w:lang w:val="en-US" w:eastAsia="zh-CN" w:bidi="ar"/>
              </w:rPr>
              <w:t>5</w:t>
            </w:r>
          </w:p>
        </w:tc>
        <w:tc>
          <w:tcPr>
            <w:tcW w:w="3805"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供应商需结合项目的实际特点制定应急方案：内容包含但不限于机房搬迁过程中的断电断网应急措施、工作日进行综合布线导致的断网应急措施、办税大厅网络割接处理应急措施及方案。</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根据对该项目的理解所提供的应急措施的科学合理性、涉及范围全面、故障预防与应急切实可行、内容详细具体、重点突出、响应迅速能有效的应对突发事件，能更好的满足项目需求的得5分；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所提供的应急措施内容具体详细、涉及范围全面、故障预防与应急细节描述到位、能有效合理的应对突发事件，满足项目需求的得4分；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所提供的应急措施内容完整、涉及范围较全面、故障预防与应急细节描述清楚、对突发事件的应对把握较精准，基本满足项目需求的得3分；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所提供的应急措施内容不完整、涉及范围不全面、故障预防与应急细节描述不清楚、对突发事件的应对把握不够精准，不能完全满足项目需求的得2分；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所提供的应急方案缺项较多且与本项目无关联的得1分；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简单照抄招标文件需求和评分标准内容、无具体描述，或未提供相应内容的不得分。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0" w:hRule="atLeast"/>
        </w:trPr>
        <w:tc>
          <w:tcPr>
            <w:tcW w:w="197"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tc>
        <w:tc>
          <w:tcPr>
            <w:tcW w:w="313"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B050"/>
                <w:kern w:val="0"/>
                <w:sz w:val="20"/>
                <w:szCs w:val="20"/>
                <w:u w:val="none"/>
                <w:lang w:val="en-US" w:eastAsia="zh-CN" w:bidi="ar"/>
              </w:rPr>
            </w:pP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b w:val="0"/>
                <w:bCs w:val="0"/>
                <w:i w:val="0"/>
                <w:iCs w:val="0"/>
                <w:snapToGrid w:val="0"/>
                <w:color w:val="000000"/>
                <w:kern w:val="0"/>
                <w:sz w:val="20"/>
                <w:szCs w:val="20"/>
                <w:u w:val="none"/>
                <w:lang w:val="en-US" w:eastAsia="zh-CN" w:bidi="ar"/>
              </w:rPr>
            </w:pPr>
            <w:r>
              <w:rPr>
                <w:rFonts w:hint="eastAsia" w:ascii="宋体" w:hAnsi="宋体" w:eastAsia="宋体" w:cs="宋体"/>
                <w:b w:val="0"/>
                <w:bCs w:val="0"/>
                <w:i w:val="0"/>
                <w:iCs w:val="0"/>
                <w:snapToGrid w:val="0"/>
                <w:color w:val="000000"/>
                <w:kern w:val="0"/>
                <w:sz w:val="20"/>
                <w:szCs w:val="20"/>
                <w:u w:val="none"/>
                <w:lang w:val="en-US" w:eastAsia="zh-CN" w:bidi="ar"/>
              </w:rPr>
              <w:t>培训方案及措施</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cs="宋体"/>
                <w:b w:val="0"/>
                <w:bCs w:val="0"/>
                <w:i w:val="0"/>
                <w:iCs w:val="0"/>
                <w:snapToGrid w:val="0"/>
                <w:color w:val="000000"/>
                <w:kern w:val="0"/>
                <w:sz w:val="20"/>
                <w:szCs w:val="20"/>
                <w:u w:val="none"/>
                <w:lang w:val="en-US" w:eastAsia="zh-CN" w:bidi="ar"/>
              </w:rPr>
            </w:pPr>
            <w:r>
              <w:rPr>
                <w:rFonts w:hint="eastAsia" w:ascii="宋体" w:hAnsi="宋体" w:cs="宋体"/>
                <w:b w:val="0"/>
                <w:bCs w:val="0"/>
                <w:i w:val="0"/>
                <w:iCs w:val="0"/>
                <w:snapToGrid w:val="0"/>
                <w:color w:val="000000"/>
                <w:kern w:val="0"/>
                <w:sz w:val="20"/>
                <w:szCs w:val="20"/>
                <w:u w:val="none"/>
                <w:lang w:val="en-US" w:eastAsia="zh-CN" w:bidi="ar"/>
              </w:rPr>
              <w:t>5</w:t>
            </w:r>
          </w:p>
        </w:tc>
        <w:tc>
          <w:tcPr>
            <w:tcW w:w="3805"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根据投标商提供的培训方案，包括培训目的、培训计划、培训时长、培训时间、培训时间次数、培训模块、培训课程内容等。</w:t>
            </w:r>
            <w:r>
              <w:rPr>
                <w:rFonts w:hint="eastAsia" w:ascii="宋体" w:hAnsi="宋体" w:eastAsia="宋体" w:cs="宋体"/>
                <w:color w:val="000000"/>
                <w:kern w:val="0"/>
                <w:sz w:val="20"/>
                <w:szCs w:val="20"/>
                <w:highlight w:val="none"/>
                <w:lang w:val="en-US" w:eastAsia="zh-CN" w:bidi="ar-SA"/>
              </w:rPr>
              <w:t>结合本项目实际进行评审。</w:t>
            </w:r>
            <w:r>
              <w:rPr>
                <w:rFonts w:hint="eastAsia" w:ascii="宋体" w:hAnsi="宋体" w:eastAsia="宋体" w:cs="宋体"/>
                <w:i w:val="0"/>
                <w:iCs w:val="0"/>
                <w:snapToGrid w:val="0"/>
                <w:color w:val="000000"/>
                <w:kern w:val="0"/>
                <w:sz w:val="20"/>
                <w:szCs w:val="20"/>
                <w:u w:val="none"/>
                <w:lang w:val="en-US" w:eastAsia="zh-CN" w:bidi="ar"/>
              </w:rPr>
              <w:t>针对各投标文件响应程度进行赋分：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培训方案周到全面，明确培训次数、培训时长、时间、模块内容、培训具体服务内容、技术辅导培训等内容符合本项目需求、定位明确、针对性强，对于产品使用的重点难点等方面有详细描述的得5分；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培训方案包括培训时间、培训内容、培训人员，培训内容较具体、详细，有计划性、有针对性，内容较完整、详细、科学合理且可行性较强的得4分；</w:t>
            </w:r>
          </w:p>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 培训方案周到，培训内容部分符合本项目需求，定位清晰，对于产品使用的重点、难点等方面较细致描述，比较能满足上述要求的得3分；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培训方案周到，培训内容部分符合本项目需求，对于产品使用的重点、难点等方面有描述，基本能满足上述要求的得2分；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培训方案内容一般的得1分；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  简单照抄招标文件需求和评分标准内容、无具体描述，或未提供相应内容的不得分。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13" w:hRule="atLeast"/>
        </w:trPr>
        <w:tc>
          <w:tcPr>
            <w:tcW w:w="197"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cs="宋体"/>
                <w:i w:val="0"/>
                <w:iCs w:val="0"/>
                <w:snapToGrid w:val="0"/>
                <w:color w:val="000000"/>
                <w:kern w:val="0"/>
                <w:sz w:val="20"/>
                <w:szCs w:val="20"/>
                <w:u w:val="none"/>
                <w:lang w:val="en-US" w:eastAsia="zh-CN" w:bidi="ar"/>
              </w:rPr>
            </w:pPr>
          </w:p>
        </w:tc>
        <w:tc>
          <w:tcPr>
            <w:tcW w:w="313" w:type="pct"/>
            <w:vMerge w:val="continue"/>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eastAsia" w:ascii="宋体" w:hAnsi="宋体" w:eastAsia="宋体" w:cs="宋体"/>
                <w:i w:val="0"/>
                <w:iCs w:val="0"/>
                <w:snapToGrid w:val="0"/>
                <w:color w:val="00B050"/>
                <w:kern w:val="0"/>
                <w:sz w:val="20"/>
                <w:szCs w:val="20"/>
                <w:u w:val="none"/>
                <w:lang w:val="en-US" w:eastAsia="zh-CN" w:bidi="ar"/>
              </w:rPr>
            </w:pPr>
          </w:p>
        </w:tc>
        <w:tc>
          <w:tcPr>
            <w:tcW w:w="319"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eastAsia="宋体" w:cs="宋体"/>
                <w:b/>
                <w:bCs/>
                <w:i w:val="0"/>
                <w:iCs w:val="0"/>
                <w:snapToGrid w:val="0"/>
                <w:color w:val="000000"/>
                <w:kern w:val="0"/>
                <w:sz w:val="20"/>
                <w:szCs w:val="20"/>
                <w:u w:val="none"/>
                <w:lang w:val="en-US" w:eastAsia="zh-CN" w:bidi="ar"/>
              </w:rPr>
            </w:pPr>
            <w:r>
              <w:rPr>
                <w:rFonts w:hint="eastAsia" w:ascii="宋体" w:hAnsi="宋体" w:eastAsia="宋体" w:cs="宋体"/>
                <w:b w:val="0"/>
                <w:bCs w:val="0"/>
                <w:i w:val="0"/>
                <w:iCs w:val="0"/>
                <w:snapToGrid w:val="0"/>
                <w:color w:val="000000"/>
                <w:kern w:val="0"/>
                <w:sz w:val="20"/>
                <w:szCs w:val="20"/>
                <w:u w:val="none"/>
                <w:lang w:val="en-US" w:eastAsia="zh-CN" w:bidi="ar"/>
              </w:rPr>
              <w:t>售后服务方案</w:t>
            </w:r>
          </w:p>
        </w:tc>
        <w:tc>
          <w:tcPr>
            <w:tcW w:w="364"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40" w:lineRule="auto"/>
              <w:ind w:firstLine="0" w:firstLineChars="0"/>
              <w:jc w:val="center"/>
              <w:textAlignment w:val="center"/>
              <w:rPr>
                <w:rFonts w:hint="default" w:ascii="宋体" w:hAnsi="宋体" w:cs="宋体"/>
                <w:i w:val="0"/>
                <w:iCs w:val="0"/>
                <w:snapToGrid w:val="0"/>
                <w:color w:val="00B050"/>
                <w:kern w:val="0"/>
                <w:sz w:val="20"/>
                <w:szCs w:val="20"/>
                <w:u w:val="none"/>
                <w:lang w:val="en-US" w:eastAsia="zh-CN" w:bidi="ar"/>
              </w:rPr>
            </w:pPr>
            <w:r>
              <w:rPr>
                <w:rFonts w:hint="eastAsia" w:ascii="宋体" w:hAnsi="宋体" w:cs="宋体"/>
                <w:i w:val="0"/>
                <w:iCs w:val="0"/>
                <w:snapToGrid w:val="0"/>
                <w:color w:val="000000"/>
                <w:kern w:val="0"/>
                <w:sz w:val="20"/>
                <w:szCs w:val="20"/>
                <w:u w:val="none"/>
                <w:lang w:val="en-US" w:eastAsia="zh-CN" w:bidi="ar"/>
              </w:rPr>
              <w:t>10</w:t>
            </w:r>
          </w:p>
        </w:tc>
        <w:tc>
          <w:tcPr>
            <w:tcW w:w="3805" w:type="pct"/>
            <w:noWrap w:val="0"/>
            <w:vAlign w:val="center"/>
          </w:tcPr>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评委针对供应商提供的售后服务及承诺，结合本项目实际进行评审。供应商需具有科学的售后服务方案体系，提供明确的售后服务方案。</w:t>
            </w:r>
          </w:p>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售后服务方案体系，售后服务承诺全面具体，售后服务体系完善，售后服务内容详细具体，问题解决方案全面具体，售后服务响应及时措施得当、细致，方案内容能够充分满足或优于采购人的实际需求，针对本项目具有明确详细的售后服务工作流程，售后及维护服务内容响应到位，内容全面的，得10分； </w:t>
            </w:r>
          </w:p>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售后服务方案合理可行、服务内容思路清晰明了，条理性强，且可行性强，服务响应迅速，且有具体时间，有完整的售后服务体系，有详细的承诺，完全满足项目要求的得7分；</w:t>
            </w:r>
          </w:p>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售后服务方案可行，服务内容全面，服务响应及时且有具体时间，售后服务体系完善，承诺完整，可以满足采购需求的得5分；</w:t>
            </w:r>
          </w:p>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 xml:space="preserve">售后服务方案相对合理，有明确服务响应时间，售后服务体系相对健全，承诺表述内容少，提供完整的售后服务方案，但缺乏针对性，有项目技术支持人员；具有售后服务工作流程，得3分； </w:t>
            </w:r>
          </w:p>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售后服务方案，有项目技术支持人员，内容不完整，缺乏针对性，制定的保证措施不完善、不全面、不细致，方案简单、服务响应缓慢，售后服务体系不够健全，只有简单的承诺得1分；</w:t>
            </w:r>
          </w:p>
          <w:p>
            <w:pPr>
              <w:keepNext w:val="0"/>
              <w:keepLines w:val="0"/>
              <w:pageBreakBefore w:val="0"/>
              <w:widowControl/>
              <w:suppressLineNumbers w:val="0"/>
              <w:kinsoku/>
              <w:wordWrap/>
              <w:overflowPunct/>
              <w:topLinePunct w:val="0"/>
              <w:autoSpaceDE w:val="0"/>
              <w:autoSpaceDN w:val="0"/>
              <w:bidi w:val="0"/>
              <w:adjustRightInd/>
              <w:snapToGrid/>
              <w:spacing w:line="270" w:lineRule="exact"/>
              <w:ind w:firstLine="400" w:firstLineChars="200"/>
              <w:jc w:val="left"/>
              <w:textAlignment w:val="center"/>
              <w:rPr>
                <w:rFonts w:hint="eastAsia" w:ascii="宋体" w:hAnsi="宋体" w:eastAsia="宋体" w:cs="宋体"/>
                <w:i w:val="0"/>
                <w:iCs w:val="0"/>
                <w:snapToGrid w:val="0"/>
                <w:color w:val="000000"/>
                <w:kern w:val="0"/>
                <w:sz w:val="20"/>
                <w:szCs w:val="20"/>
                <w:u w:val="none"/>
                <w:lang w:val="en-US" w:eastAsia="zh-CN" w:bidi="ar"/>
              </w:rPr>
            </w:pPr>
            <w:r>
              <w:rPr>
                <w:rFonts w:hint="eastAsia" w:ascii="宋体" w:hAnsi="宋体" w:eastAsia="宋体" w:cs="宋体"/>
                <w:i w:val="0"/>
                <w:iCs w:val="0"/>
                <w:snapToGrid w:val="0"/>
                <w:color w:val="000000"/>
                <w:kern w:val="0"/>
                <w:sz w:val="20"/>
                <w:szCs w:val="20"/>
                <w:u w:val="none"/>
                <w:lang w:val="en-US" w:eastAsia="zh-CN" w:bidi="ar"/>
              </w:rPr>
              <w:t>简单照抄招标文件需求和评分标准内容、无具体描述，或未提供相应内容的不得分。</w:t>
            </w:r>
          </w:p>
        </w:tc>
      </w:tr>
    </w:tbl>
    <w:p>
      <w:pPr>
        <w:rPr>
          <w:rFonts w:hint="eastAsia" w:eastAsia="宋体"/>
          <w:lang w:eastAsia="zh-CN"/>
        </w:rPr>
      </w:pPr>
    </w:p>
    <w:sectPr>
      <w:pgSz w:w="11906" w:h="16838"/>
      <w:pgMar w:top="1984" w:right="1417"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Wingdings 2">
    <w:altName w:val="Wingdings"/>
    <w:panose1 w:val="05020102010507070707"/>
    <w:charset w:val="00"/>
    <w:family w:val="roman"/>
    <w:pitch w:val="default"/>
    <w:sig w:usb0="00000000" w:usb1="00000000" w:usb2="00000000" w:usb3="00000000" w:csb0="80000000" w:csb1="00000000"/>
  </w:font>
  <w:font w:name="华文中宋">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auto"/>
    <w:pitch w:val="default"/>
    <w:sig w:usb0="800002BF" w:usb1="38CF7CFA" w:usb2="00000016" w:usb3="00000000" w:csb0="00040001" w:csb1="00000000"/>
  </w:font>
  <w:font w:name="??">
    <w:altName w:val="微软雅黑"/>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rPr>
        <w:rFonts w:ascii="宋体" w:hAnsi="宋体"/>
        <w:sz w:val="28"/>
        <w:szCs w:val="28"/>
      </w:rPr>
    </w:pPr>
    <w:r>
      <w:rPr>
        <w:sz w:val="2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8"/>
                            <w:jc w:val="right"/>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8"/>
                      <w:jc w:val="right"/>
                    </w:pPr>
                    <w:r>
                      <w:rPr>
                        <w:rFonts w:hint="eastAsia" w:ascii="宋体" w:hAnsi="宋体"/>
                        <w:sz w:val="28"/>
                        <w:szCs w:val="28"/>
                      </w:rPr>
                      <w:t xml:space="preserve">— </w:t>
                    </w:r>
                    <w:r>
                      <w:rPr>
                        <w:rFonts w:ascii="宋体" w:hAnsi="宋体"/>
                        <w:sz w:val="28"/>
                        <w:szCs w:val="28"/>
                      </w:rPr>
                      <w:fldChar w:fldCharType="begin"/>
                    </w:r>
                    <w:r>
                      <w:rPr>
                        <w:rFonts w:ascii="宋体" w:hAnsi="宋体"/>
                        <w:sz w:val="28"/>
                        <w:szCs w:val="28"/>
                      </w:rPr>
                      <w:instrText xml:space="preserve"> PAGE   \* MERGEFORMAT </w:instrText>
                    </w:r>
                    <w:r>
                      <w:rPr>
                        <w:rFonts w:ascii="宋体" w:hAnsi="宋体"/>
                        <w:sz w:val="28"/>
                        <w:szCs w:val="28"/>
                      </w:rPr>
                      <w:fldChar w:fldCharType="separate"/>
                    </w:r>
                    <w:r>
                      <w:rPr>
                        <w:rFonts w:ascii="宋体" w:hAnsi="宋体"/>
                        <w:sz w:val="28"/>
                        <w:szCs w:val="28"/>
                        <w:lang w:val="zh-CN"/>
                      </w:rPr>
                      <w:t>1</w:t>
                    </w:r>
                    <w:r>
                      <w:rPr>
                        <w:rFonts w:ascii="宋体" w:hAnsi="宋体"/>
                        <w:sz w:val="28"/>
                        <w:szCs w:val="28"/>
                      </w:rPr>
                      <w:fldChar w:fldCharType="end"/>
                    </w:r>
                    <w:r>
                      <w:rPr>
                        <w:rFonts w:hint="eastAsia" w:ascii="宋体" w:hAnsi="宋体"/>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29984C"/>
    <w:multiLevelType w:val="singleLevel"/>
    <w:tmpl w:val="A429984C"/>
    <w:lvl w:ilvl="0" w:tentative="0">
      <w:start w:val="1"/>
      <w:numFmt w:val="decimal"/>
      <w:pStyle w:val="6"/>
      <w:lvlText w:val="%1."/>
      <w:lvlJc w:val="left"/>
      <w:pPr>
        <w:tabs>
          <w:tab w:val="left" w:pos="780"/>
        </w:tabs>
        <w:ind w:left="7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75B43F"/>
    <w:rsid w:val="175231A3"/>
    <w:rsid w:val="27931E1C"/>
    <w:rsid w:val="35F10F6B"/>
    <w:rsid w:val="3AFE725E"/>
    <w:rsid w:val="3DFDE2AA"/>
    <w:rsid w:val="3EBFADB3"/>
    <w:rsid w:val="3F192D8B"/>
    <w:rsid w:val="3F2B18E7"/>
    <w:rsid w:val="3FBF4D8E"/>
    <w:rsid w:val="4EC9326C"/>
    <w:rsid w:val="60F5346D"/>
    <w:rsid w:val="61FC2A7A"/>
    <w:rsid w:val="625D076D"/>
    <w:rsid w:val="635BCC90"/>
    <w:rsid w:val="7CF714A1"/>
    <w:rsid w:val="7DF56E42"/>
    <w:rsid w:val="7E7F1565"/>
    <w:rsid w:val="7EF716AE"/>
    <w:rsid w:val="7FB78A37"/>
    <w:rsid w:val="7FF7A461"/>
    <w:rsid w:val="85D1D778"/>
    <w:rsid w:val="BDED4ACF"/>
    <w:rsid w:val="BE2EF64D"/>
    <w:rsid w:val="DBD3578E"/>
    <w:rsid w:val="DF436264"/>
    <w:rsid w:val="E6EFAF91"/>
    <w:rsid w:val="EAECA9A9"/>
    <w:rsid w:val="EDEB75B1"/>
    <w:rsid w:val="EEEF3E21"/>
    <w:rsid w:val="EF9F881B"/>
    <w:rsid w:val="EFD76F20"/>
    <w:rsid w:val="EFFDBEF6"/>
    <w:rsid w:val="F70DFDEE"/>
    <w:rsid w:val="FDBFB608"/>
    <w:rsid w:val="FF7FB767"/>
    <w:rsid w:val="FFBE095D"/>
    <w:rsid w:val="FFD1AD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9" w:semiHidden="0" w:name="heading 3"/>
    <w:lsdException w:qFormat="1" w:uiPriority="0" w:name="heading 4"/>
    <w:lsdException w:qFormat="1" w:unhideWhenUsed="0" w:uiPriority="9"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3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paragraph" w:styleId="4">
    <w:name w:val="heading 3"/>
    <w:basedOn w:val="1"/>
    <w:next w:val="1"/>
    <w:link w:val="14"/>
    <w:qFormat/>
    <w:uiPriority w:val="9"/>
    <w:pPr>
      <w:keepNext/>
      <w:keepLines/>
      <w:adjustRightInd w:val="0"/>
      <w:spacing w:before="260" w:after="260" w:line="360" w:lineRule="auto"/>
      <w:ind w:firstLine="0" w:firstLineChars="0"/>
      <w:jc w:val="left"/>
      <w:outlineLvl w:val="2"/>
    </w:pPr>
    <w:rPr>
      <w:rFonts w:eastAsia="黑体"/>
      <w:bCs/>
      <w:sz w:val="32"/>
      <w:szCs w:val="32"/>
    </w:rPr>
  </w:style>
  <w:style w:type="paragraph" w:styleId="5">
    <w:name w:val="heading 5"/>
    <w:basedOn w:val="1"/>
    <w:next w:val="1"/>
    <w:qFormat/>
    <w:uiPriority w:val="9"/>
    <w:pPr>
      <w:keepNext/>
      <w:keepLines/>
      <w:tabs>
        <w:tab w:val="left" w:pos="780"/>
      </w:tabs>
      <w:spacing w:before="280" w:after="290" w:line="377" w:lineRule="auto"/>
      <w:ind w:firstLine="200" w:firstLineChars="200"/>
      <w:outlineLvl w:val="4"/>
    </w:pPr>
    <w:rPr>
      <w:rFonts w:ascii="Times New Roman" w:hAnsi="Times New Roman" w:eastAsia="仿宋_GB2312" w:cs="Times New Roman"/>
      <w:bCs/>
      <w:szCs w:val="28"/>
    </w:rPr>
  </w:style>
  <w:style w:type="character" w:default="1" w:styleId="13">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Body Text First Indent"/>
    <w:basedOn w:val="3"/>
    <w:next w:val="1"/>
    <w:qFormat/>
    <w:uiPriority w:val="0"/>
    <w:pPr>
      <w:spacing w:after="120"/>
      <w:ind w:firstLine="420" w:firstLineChars="100"/>
      <w:jc w:val="both"/>
    </w:pPr>
    <w:rPr>
      <w:rFonts w:ascii="Times New Roman" w:hAnsi="Times New Roman" w:eastAsia="宋体"/>
      <w:sz w:val="20"/>
    </w:rPr>
  </w:style>
  <w:style w:type="paragraph" w:styleId="3">
    <w:name w:val="Body Text"/>
    <w:basedOn w:val="1"/>
    <w:next w:val="1"/>
    <w:qFormat/>
    <w:uiPriority w:val="0"/>
    <w:pPr>
      <w:adjustRightInd w:val="0"/>
      <w:snapToGrid w:val="0"/>
      <w:spacing w:line="360" w:lineRule="auto"/>
      <w:ind w:firstLine="200" w:firstLineChars="200"/>
    </w:pPr>
    <w:rPr>
      <w:rFonts w:eastAsia="仿宋_GB2312"/>
      <w:kern w:val="0"/>
      <w:sz w:val="30"/>
    </w:rPr>
  </w:style>
  <w:style w:type="paragraph" w:styleId="6">
    <w:name w:val="List Number 2"/>
    <w:basedOn w:val="1"/>
    <w:qFormat/>
    <w:uiPriority w:val="0"/>
    <w:pPr>
      <w:numPr>
        <w:ilvl w:val="0"/>
        <w:numId w:val="1"/>
      </w:numPr>
    </w:pPr>
  </w:style>
  <w:style w:type="paragraph" w:styleId="7">
    <w:name w:val="Body Text Indent"/>
    <w:basedOn w:val="1"/>
    <w:next w:val="1"/>
    <w:qFormat/>
    <w:uiPriority w:val="0"/>
    <w:pPr>
      <w:spacing w:line="360" w:lineRule="auto"/>
      <w:ind w:left="0"/>
      <w:jc w:val="left"/>
    </w:pPr>
    <w:rPr>
      <w:rFonts w:ascii="仿宋_GB2312" w:hAnsi="仿宋_GB2312" w:cs="Times New Roman"/>
      <w:kern w:val="2"/>
      <w:sz w:val="21"/>
      <w:szCs w:val="22"/>
      <w:lang w:val="en-US" w:eastAsia="zh-CN" w:bidi="ar-SA"/>
    </w:rPr>
  </w:style>
  <w:style w:type="paragraph" w:styleId="8">
    <w:name w:val="footer"/>
    <w:basedOn w:val="1"/>
    <w:qFormat/>
    <w:uiPriority w:val="0"/>
    <w:pPr>
      <w:tabs>
        <w:tab w:val="center" w:pos="4153"/>
        <w:tab w:val="right" w:pos="8306"/>
      </w:tabs>
      <w:snapToGrid w:val="0"/>
      <w:jc w:val="left"/>
    </w:pPr>
    <w:rPr>
      <w:sz w:val="18"/>
      <w:szCs w:val="18"/>
    </w:rPr>
  </w:style>
  <w:style w:type="paragraph" w:styleId="9">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2"/>
    <w:basedOn w:val="7"/>
    <w:qFormat/>
    <w:uiPriority w:val="0"/>
    <w:pPr>
      <w:tabs>
        <w:tab w:val="left" w:pos="0"/>
      </w:tabs>
      <w:ind w:firstLine="420" w:firstLineChars="200"/>
    </w:pPr>
  </w:style>
  <w:style w:type="table" w:styleId="12">
    <w:name w:val="Table Grid"/>
    <w:basedOn w:val="11"/>
    <w:qFormat/>
    <w:uiPriority w:val="39"/>
    <w:rPr>
      <w:rFonts w:ascii="Times New Roman" w:hAnsi="Times New Roman" w:eastAsia="宋体" w:cs="Times New Roman"/>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4">
    <w:name w:val="标题 3 Char"/>
    <w:link w:val="4"/>
    <w:qFormat/>
    <w:uiPriority w:val="0"/>
    <w:rPr>
      <w:rFonts w:eastAsia="黑体"/>
      <w:bCs/>
      <w:sz w:val="32"/>
      <w:szCs w:val="32"/>
    </w:rPr>
  </w:style>
  <w:style w:type="character" w:customStyle="1" w:styleId="15">
    <w:name w:val="font61"/>
    <w:basedOn w:val="13"/>
    <w:qFormat/>
    <w:uiPriority w:val="0"/>
    <w:rPr>
      <w:rFonts w:hint="eastAsia" w:ascii="宋体" w:hAnsi="宋体" w:eastAsia="宋体" w:cs="宋体"/>
      <w:color w:val="000000"/>
      <w:sz w:val="18"/>
      <w:szCs w:val="18"/>
      <w:u w:val="none"/>
    </w:rPr>
  </w:style>
  <w:style w:type="character" w:customStyle="1" w:styleId="16">
    <w:name w:val="font71"/>
    <w:basedOn w:val="13"/>
    <w:qFormat/>
    <w:uiPriority w:val="0"/>
    <w:rPr>
      <w:rFonts w:hint="eastAsia" w:ascii="宋体" w:hAnsi="宋体" w:eastAsia="宋体" w:cs="宋体"/>
      <w:color w:val="000000"/>
      <w:sz w:val="18"/>
      <w:szCs w:val="18"/>
      <w:u w:val="none"/>
    </w:rPr>
  </w:style>
  <w:style w:type="character" w:customStyle="1" w:styleId="17">
    <w:name w:val="font101"/>
    <w:basedOn w:val="13"/>
    <w:qFormat/>
    <w:uiPriority w:val="0"/>
    <w:rPr>
      <w:rFonts w:hint="eastAsia" w:ascii="宋体" w:hAnsi="宋体" w:eastAsia="宋体" w:cs="宋体"/>
      <w:color w:val="000000"/>
      <w:sz w:val="18"/>
      <w:szCs w:val="18"/>
      <w:u w:val="none"/>
      <w:vertAlign w:val="superscript"/>
    </w:rPr>
  </w:style>
  <w:style w:type="character" w:customStyle="1" w:styleId="18">
    <w:name w:val="font51"/>
    <w:basedOn w:val="13"/>
    <w:qFormat/>
    <w:uiPriority w:val="0"/>
    <w:rPr>
      <w:rFonts w:hint="eastAsia" w:ascii="宋体" w:hAnsi="宋体" w:eastAsia="宋体" w:cs="宋体"/>
      <w:color w:val="000000"/>
      <w:sz w:val="18"/>
      <w:szCs w:val="18"/>
      <w:u w:val="none"/>
    </w:rPr>
  </w:style>
  <w:style w:type="character" w:customStyle="1" w:styleId="19">
    <w:name w:val="font112"/>
    <w:basedOn w:val="13"/>
    <w:qFormat/>
    <w:uiPriority w:val="0"/>
    <w:rPr>
      <w:rFonts w:hint="eastAsia" w:ascii="宋体" w:hAnsi="宋体" w:eastAsia="宋体" w:cs="宋体"/>
      <w:color w:val="000000"/>
      <w:sz w:val="18"/>
      <w:szCs w:val="18"/>
      <w:u w:val="none"/>
      <w:vertAlign w:val="superscript"/>
    </w:rPr>
  </w:style>
  <w:style w:type="character" w:customStyle="1" w:styleId="20">
    <w:name w:val="font31"/>
    <w:basedOn w:val="13"/>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34</TotalTime>
  <ScaleCrop>false</ScaleCrop>
  <LinksUpToDate>false</LinksUpToDate>
  <CharactersWithSpaces>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2014-10-31T12:08:00Z</dcterms:created>
  <dc:creator>Administrator</dc:creator>
  <cp:lastModifiedBy>王蕾</cp:lastModifiedBy>
  <cp:lastPrinted>2025-07-14T10:08:00Z</cp:lastPrinted>
  <dcterms:modified xsi:type="dcterms:W3CDTF">2025-09-05T01:34:55Z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2052-11.8.2.10158</vt:lpwstr>
  </property>
</Properties>
</file>