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rPr>
          <w:rFonts w:ascii="黑体" w:hAnsi="黑体" w:eastAsia="黑体" w:cs="黑体"/>
          <w:b/>
          <w:bCs/>
          <w:sz w:val="52"/>
          <w:szCs w:val="52"/>
        </w:rPr>
      </w:pPr>
    </w:p>
    <w:p>
      <w:pPr>
        <w:jc w:val="center"/>
        <w:rPr>
          <w:rFonts w:hint="eastAsia" w:ascii="黑体" w:hAnsi="黑体" w:eastAsia="黑体" w:cs="黑体"/>
          <w:b/>
          <w:bCs/>
          <w:sz w:val="52"/>
          <w:szCs w:val="52"/>
          <w:lang w:eastAsia="zh-CN"/>
        </w:rPr>
      </w:pPr>
      <w:r>
        <w:rPr>
          <w:rFonts w:hint="eastAsia" w:ascii="黑体" w:hAnsi="黑体" w:eastAsia="黑体" w:cs="黑体"/>
          <w:b/>
          <w:bCs/>
          <w:sz w:val="52"/>
          <w:szCs w:val="52"/>
        </w:rPr>
        <w:t>非税收入</w:t>
      </w:r>
      <w:r>
        <w:rPr>
          <w:rFonts w:hint="eastAsia" w:ascii="黑体" w:hAnsi="黑体" w:eastAsia="黑体" w:cs="黑体"/>
          <w:b/>
          <w:bCs/>
          <w:sz w:val="52"/>
          <w:szCs w:val="52"/>
          <w:lang w:eastAsia="zh-CN"/>
        </w:rPr>
        <w:t>线上申报缴费指南</w:t>
      </w: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rPr>
          <w:rFonts w:ascii="仿宋" w:hAnsi="仿宋" w:eastAsia="仿宋" w:cs="仿宋"/>
          <w:sz w:val="32"/>
          <w:szCs w:val="32"/>
        </w:rPr>
      </w:pPr>
    </w:p>
    <w:p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2022年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月</w:t>
      </w:r>
    </w:p>
    <w:p>
      <w:pPr>
        <w:spacing w:before="312" w:beforeLines="100" w:after="156" w:afterLines="50" w:line="360" w:lineRule="auto"/>
        <w:rPr>
          <w:rFonts w:ascii="黑体" w:hAnsi="黑体" w:eastAsia="黑体" w:cs="黑体"/>
          <w:b/>
          <w:bCs/>
          <w:sz w:val="32"/>
          <w:szCs w:val="32"/>
        </w:rPr>
      </w:pPr>
    </w:p>
    <w:sdt>
      <w:sdtPr>
        <w:rPr>
          <w:rFonts w:ascii="宋体" w:hAnsi="宋体" w:eastAsia="宋体"/>
          <w:sz w:val="24"/>
        </w:rPr>
        <w:id w:val="147468548"/>
        <w15:color w:val="DBDBDB"/>
      </w:sdtPr>
      <w:sdtEndPr>
        <w:rPr>
          <w:rFonts w:hint="eastAsia" w:ascii="黑体" w:hAnsi="黑体" w:eastAsia="黑体" w:cs="黑体"/>
          <w:bCs/>
          <w:sz w:val="21"/>
          <w:szCs w:val="32"/>
        </w:rPr>
      </w:sdtEndPr>
      <w:sdtContent>
        <w:p>
          <w:pPr>
            <w:jc w:val="center"/>
            <w:rPr>
              <w:b/>
              <w:bCs/>
              <w:sz w:val="36"/>
              <w:szCs w:val="36"/>
            </w:rPr>
          </w:pPr>
          <w:r>
            <w:rPr>
              <w:rFonts w:ascii="宋体" w:hAnsi="宋体" w:eastAsia="宋体"/>
              <w:b/>
              <w:bCs/>
              <w:sz w:val="36"/>
              <w:szCs w:val="36"/>
            </w:rPr>
            <w:t>目</w:t>
          </w:r>
          <w:r>
            <w:rPr>
              <w:rFonts w:hint="eastAsia" w:ascii="宋体" w:hAnsi="宋体" w:eastAsia="宋体"/>
              <w:b/>
              <w:bCs/>
              <w:sz w:val="36"/>
              <w:szCs w:val="36"/>
            </w:rPr>
            <w:t xml:space="preserve"> </w:t>
          </w:r>
          <w:r>
            <w:rPr>
              <w:rFonts w:ascii="宋体" w:hAnsi="宋体" w:eastAsia="宋体"/>
              <w:b/>
              <w:bCs/>
              <w:sz w:val="36"/>
              <w:szCs w:val="36"/>
            </w:rPr>
            <w:t>录</w:t>
          </w:r>
        </w:p>
        <w:p>
          <w:pPr>
            <w:pStyle w:val="8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/>
              <w:bCs/>
              <w:sz w:val="40"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/>
              <w:bCs/>
              <w:sz w:val="40"/>
              <w:szCs w:val="40"/>
            </w:rPr>
            <w:instrText xml:space="preserve">TOC \o "1-3" \h \u </w:instrText>
          </w:r>
          <w:r>
            <w:rPr>
              <w:rFonts w:hint="eastAsia" w:ascii="黑体" w:hAnsi="黑体" w:eastAsia="黑体" w:cs="黑体"/>
              <w:b/>
              <w:bCs/>
              <w:sz w:val="40"/>
              <w:szCs w:val="40"/>
            </w:rPr>
            <w:fldChar w:fldCharType="separate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_Toc13745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黑体" w:hAnsi="黑体" w:eastAsia="黑体" w:cs="黑体"/>
              <w:szCs w:val="32"/>
            </w:rPr>
            <w:t>一、 前言</w:t>
          </w:r>
          <w:r>
            <w:tab/>
          </w:r>
          <w:r>
            <w:fldChar w:fldCharType="begin"/>
          </w:r>
          <w:r>
            <w:instrText xml:space="preserve"> PAGEREF _Toc13745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8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_Toc6810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黑体" w:hAnsi="黑体" w:eastAsia="黑体" w:cs="黑体"/>
              <w:szCs w:val="32"/>
            </w:rPr>
            <w:t>二、 登录</w:t>
          </w:r>
          <w:r>
            <w:tab/>
          </w:r>
          <w:r>
            <w:fldChar w:fldCharType="begin"/>
          </w:r>
          <w:r>
            <w:instrText xml:space="preserve"> PAGEREF _Toc6810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_Toc5408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仿宋" w:hAnsi="仿宋" w:eastAsia="仿宋" w:cs="仿宋"/>
            </w:rPr>
            <w:t>（一） 企业及自然人注册流程</w:t>
          </w:r>
          <w:r>
            <w:tab/>
          </w:r>
          <w:r>
            <w:fldChar w:fldCharType="begin"/>
          </w:r>
          <w:r>
            <w:instrText xml:space="preserve"> PAGEREF _Toc5408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5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_Toc28736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  <w:bCs/>
              <w:szCs w:val="32"/>
            </w:rPr>
            <w:t xml:space="preserve">1. </w:t>
          </w:r>
          <w:r>
            <w:rPr>
              <w:rFonts w:hint="eastAsia" w:ascii="仿宋" w:hAnsi="仿宋" w:eastAsia="仿宋" w:cs="仿宋"/>
            </w:rPr>
            <w:t>企业注册</w:t>
          </w:r>
          <w:r>
            <w:tab/>
          </w:r>
          <w:r>
            <w:fldChar w:fldCharType="begin"/>
          </w:r>
          <w:r>
            <w:instrText xml:space="preserve"> PAGEREF _Toc28736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5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_Toc27509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  <w:bCs/>
              <w:szCs w:val="32"/>
            </w:rPr>
            <w:t xml:space="preserve">2. </w:t>
          </w:r>
          <w:r>
            <w:rPr>
              <w:rFonts w:hint="eastAsia" w:ascii="仿宋" w:hAnsi="仿宋" w:eastAsia="仿宋" w:cs="仿宋"/>
            </w:rPr>
            <w:t>自然人注册</w:t>
          </w:r>
          <w:r>
            <w:tab/>
          </w:r>
          <w:r>
            <w:fldChar w:fldCharType="begin"/>
          </w:r>
          <w:r>
            <w:instrText xml:space="preserve"> PAGEREF _Toc27509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_Toc19974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仿宋" w:hAnsi="仿宋" w:eastAsia="仿宋" w:cs="仿宋"/>
            </w:rPr>
            <w:t>（二） 企业及自然人登录流程</w:t>
          </w:r>
          <w:r>
            <w:tab/>
          </w:r>
          <w:r>
            <w:fldChar w:fldCharType="begin"/>
          </w:r>
          <w:r>
            <w:instrText xml:space="preserve"> PAGEREF _Toc19974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_Toc31736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  <w:bCs/>
            </w:rPr>
            <w:t xml:space="preserve">1. </w:t>
          </w:r>
          <w:r>
            <w:rPr>
              <w:rFonts w:hint="eastAsia" w:ascii="仿宋" w:hAnsi="仿宋" w:eastAsia="仿宋" w:cs="仿宋"/>
            </w:rPr>
            <w:t>企业登录</w:t>
          </w:r>
          <w:r>
            <w:tab/>
          </w:r>
          <w:r>
            <w:fldChar w:fldCharType="begin"/>
          </w:r>
          <w:r>
            <w:instrText xml:space="preserve"> PAGEREF _Toc31736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_Toc15014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  <w:bCs/>
            </w:rPr>
            <w:t xml:space="preserve">2. </w:t>
          </w:r>
          <w:r>
            <w:rPr>
              <w:rFonts w:hint="eastAsia" w:ascii="仿宋" w:hAnsi="仿宋" w:eastAsia="仿宋" w:cs="仿宋"/>
            </w:rPr>
            <w:t>自然人登录</w:t>
          </w:r>
          <w:r>
            <w:tab/>
          </w:r>
          <w:r>
            <w:fldChar w:fldCharType="begin"/>
          </w:r>
          <w:r>
            <w:instrText xml:space="preserve"> PAGEREF _Toc15014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8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_Toc2235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黑体" w:hAnsi="黑体" w:eastAsia="黑体" w:cs="黑体"/>
              <w:szCs w:val="32"/>
            </w:rPr>
            <w:t>三、非税收入申报操作流程</w:t>
          </w:r>
          <w:r>
            <w:tab/>
          </w:r>
          <w:r>
            <w:fldChar w:fldCharType="begin"/>
          </w:r>
          <w:r>
            <w:instrText xml:space="preserve"> PAGEREF _Toc2235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_Toc5388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仿宋" w:hAnsi="仿宋" w:eastAsia="仿宋" w:cs="仿宋"/>
            </w:rPr>
            <w:t>（一）需</w:t>
          </w:r>
          <w:r>
            <w:rPr>
              <w:rFonts w:hint="eastAsia" w:ascii="仿宋" w:hAnsi="仿宋" w:eastAsia="仿宋" w:cs="仿宋"/>
              <w:lang w:eastAsia="zh-CN"/>
            </w:rPr>
            <w:t>由行政主管部门核定并</w:t>
          </w:r>
          <w:r>
            <w:rPr>
              <w:rFonts w:hint="eastAsia" w:ascii="仿宋" w:hAnsi="仿宋" w:eastAsia="仿宋" w:cs="仿宋"/>
            </w:rPr>
            <w:t>进行费源信息采集</w:t>
          </w:r>
          <w:r>
            <w:rPr>
              <w:rFonts w:hint="eastAsia" w:ascii="仿宋" w:hAnsi="仿宋" w:eastAsia="仿宋" w:cs="仿宋"/>
              <w:lang w:eastAsia="zh-CN"/>
            </w:rPr>
            <w:t>后</w:t>
          </w:r>
          <w:r>
            <w:rPr>
              <w:rFonts w:hint="eastAsia" w:ascii="仿宋" w:hAnsi="仿宋" w:eastAsia="仿宋" w:cs="仿宋"/>
            </w:rPr>
            <w:t>再进行申报的</w:t>
          </w:r>
          <w:r>
            <w:rPr>
              <w:rFonts w:hint="eastAsia" w:ascii="仿宋" w:hAnsi="仿宋" w:eastAsia="仿宋" w:cs="仿宋"/>
              <w:lang w:eastAsia="zh-CN"/>
            </w:rPr>
            <w:t>费</w:t>
          </w:r>
          <w:r>
            <w:rPr>
              <w:rFonts w:hint="eastAsia" w:ascii="仿宋" w:hAnsi="仿宋" w:eastAsia="仿宋" w:cs="仿宋"/>
            </w:rPr>
            <w:t>种</w:t>
          </w:r>
          <w:r>
            <w:tab/>
          </w:r>
          <w:r>
            <w:fldChar w:fldCharType="begin"/>
          </w:r>
          <w:r>
            <w:instrText xml:space="preserve"> PAGEREF _Toc5388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_Toc3484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</w:rPr>
            <w:t xml:space="preserve">1. </w:t>
          </w:r>
          <w:r>
            <w:rPr>
              <w:rFonts w:hint="eastAsia" w:ascii="仿宋" w:hAnsi="仿宋" w:eastAsia="仿宋" w:cs="仿宋"/>
            </w:rPr>
            <w:t>土地闲置费</w:t>
          </w:r>
          <w:r>
            <w:tab/>
          </w:r>
          <w:r>
            <w:fldChar w:fldCharType="begin"/>
          </w:r>
          <w:r>
            <w:instrText xml:space="preserve"> PAGEREF _Toc3484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_Toc1999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</w:rPr>
            <w:t xml:space="preserve">2. </w:t>
          </w:r>
          <w:r>
            <w:rPr>
              <w:rFonts w:hint="eastAsia" w:ascii="仿宋" w:hAnsi="仿宋" w:eastAsia="仿宋" w:cs="仿宋"/>
            </w:rPr>
            <w:t>防空地下室易地建设费申报</w:t>
          </w:r>
          <w:r>
            <w:tab/>
          </w:r>
          <w:r>
            <w:fldChar w:fldCharType="begin"/>
          </w:r>
          <w:r>
            <w:instrText xml:space="preserve"> PAGEREF _Toc1999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_Toc30781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</w:rPr>
            <w:t xml:space="preserve">3. </w:t>
          </w:r>
          <w:r>
            <w:rPr>
              <w:rFonts w:hint="eastAsia" w:ascii="仿宋" w:hAnsi="仿宋" w:eastAsia="仿宋" w:cs="仿宋"/>
            </w:rPr>
            <w:t>矿产资源专项收入申报</w:t>
          </w:r>
          <w:r>
            <w:tab/>
          </w:r>
          <w:r>
            <w:fldChar w:fldCharType="begin"/>
          </w:r>
          <w:r>
            <w:instrText xml:space="preserve"> PAGEREF _Toc30781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_Toc10703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</w:rPr>
            <w:t xml:space="preserve">4. </w:t>
          </w:r>
          <w:r>
            <w:rPr>
              <w:rFonts w:hint="eastAsia" w:ascii="仿宋" w:hAnsi="仿宋" w:eastAsia="仿宋" w:cs="仿宋"/>
            </w:rPr>
            <w:t>国有土地使用权出让收入</w:t>
          </w:r>
          <w:r>
            <w:tab/>
          </w:r>
          <w:r>
            <w:fldChar w:fldCharType="begin"/>
          </w:r>
          <w:r>
            <w:instrText xml:space="preserve"> PAGEREF _Toc10703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_Toc27834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</w:rPr>
            <w:t xml:space="preserve">5. </w:t>
          </w:r>
          <w:r>
            <w:rPr>
              <w:rFonts w:hint="eastAsia" w:ascii="仿宋" w:hAnsi="仿宋" w:eastAsia="仿宋" w:cs="仿宋"/>
            </w:rPr>
            <w:t>水土保持补偿费收入</w:t>
          </w:r>
          <w:r>
            <w:tab/>
          </w:r>
          <w:r>
            <w:fldChar w:fldCharType="begin"/>
          </w:r>
          <w:r>
            <w:instrText xml:space="preserve"> PAGEREF _Toc27834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_Toc15492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仿宋" w:hAnsi="仿宋" w:eastAsia="仿宋" w:cs="仿宋"/>
            </w:rPr>
            <w:t>（二）无需</w:t>
          </w:r>
          <w:r>
            <w:rPr>
              <w:rFonts w:hint="eastAsia" w:ascii="仿宋" w:hAnsi="仿宋" w:eastAsia="仿宋" w:cs="仿宋"/>
              <w:lang w:eastAsia="zh-CN"/>
            </w:rPr>
            <w:t>行政主管部门核定并</w:t>
          </w:r>
          <w:r>
            <w:rPr>
              <w:rFonts w:hint="eastAsia" w:ascii="仿宋" w:hAnsi="仿宋" w:eastAsia="仿宋" w:cs="仿宋"/>
            </w:rPr>
            <w:t>采集</w:t>
          </w:r>
          <w:r>
            <w:rPr>
              <w:rFonts w:hint="eastAsia" w:ascii="仿宋" w:hAnsi="仿宋" w:eastAsia="仿宋" w:cs="仿宋"/>
              <w:lang w:eastAsia="zh-CN"/>
            </w:rPr>
            <w:t>费源数据就可</w:t>
          </w:r>
          <w:r>
            <w:rPr>
              <w:rFonts w:hint="eastAsia" w:ascii="仿宋" w:hAnsi="仿宋" w:eastAsia="仿宋" w:cs="仿宋"/>
            </w:rPr>
            <w:t>进行申报的</w:t>
          </w:r>
          <w:r>
            <w:rPr>
              <w:rFonts w:hint="eastAsia" w:ascii="仿宋" w:hAnsi="仿宋" w:eastAsia="仿宋" w:cs="仿宋"/>
              <w:lang w:eastAsia="zh-CN"/>
            </w:rPr>
            <w:t>费</w:t>
          </w:r>
          <w:r>
            <w:rPr>
              <w:rFonts w:hint="eastAsia" w:ascii="仿宋" w:hAnsi="仿宋" w:eastAsia="仿宋" w:cs="仿宋"/>
            </w:rPr>
            <w:t>种</w:t>
          </w:r>
          <w:r>
            <w:tab/>
          </w:r>
          <w:r>
            <w:fldChar w:fldCharType="begin"/>
          </w:r>
          <w:r>
            <w:instrText xml:space="preserve"> PAGEREF _Toc15492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_Toc25904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仿宋" w:hAnsi="仿宋" w:eastAsia="仿宋" w:cs="仿宋"/>
            </w:rPr>
            <w:t>1.水利建设专项收入申报</w:t>
          </w:r>
          <w:r>
            <w:tab/>
          </w:r>
          <w:r>
            <w:fldChar w:fldCharType="begin"/>
          </w:r>
          <w:r>
            <w:instrText xml:space="preserve"> PAGEREF _Toc25904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_Toc15871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仿宋" w:hAnsi="仿宋" w:eastAsia="仿宋" w:cs="仿宋"/>
            </w:rPr>
            <w:t>2.残疾人就业保障金申报</w:t>
          </w:r>
          <w:r>
            <w:tab/>
          </w:r>
          <w:r>
            <w:fldChar w:fldCharType="begin"/>
          </w:r>
          <w:r>
            <w:instrText xml:space="preserve"> PAGEREF _Toc15871 \h </w:instrText>
          </w:r>
          <w:r>
            <w:fldChar w:fldCharType="separate"/>
          </w:r>
          <w:r>
            <w:t>15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_Toc10827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  <w:bCs/>
            </w:rPr>
            <w:t xml:space="preserve">3. </w:t>
          </w:r>
          <w:r>
            <w:rPr>
              <w:rFonts w:hint="eastAsia" w:ascii="仿宋" w:hAnsi="仿宋" w:eastAsia="仿宋" w:cs="仿宋"/>
            </w:rPr>
            <w:t>工会经费申报</w:t>
          </w:r>
          <w:r>
            <w:tab/>
          </w:r>
          <w:r>
            <w:fldChar w:fldCharType="begin"/>
          </w:r>
          <w:r>
            <w:instrText xml:space="preserve"> PAGEREF _Toc10827 \h </w:instrText>
          </w:r>
          <w:r>
            <w:fldChar w:fldCharType="separate"/>
          </w:r>
          <w:r>
            <w:t>16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_Toc29610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default" w:ascii="仿宋" w:hAnsi="仿宋" w:eastAsia="仿宋" w:cs="仿宋"/>
              <w:bCs/>
            </w:rPr>
            <w:t xml:space="preserve">4. </w:t>
          </w:r>
          <w:r>
            <w:rPr>
              <w:rFonts w:hint="eastAsia" w:ascii="仿宋" w:hAnsi="仿宋" w:eastAsia="仿宋" w:cs="仿宋"/>
            </w:rPr>
            <w:t>油价调控风险准备金申报</w:t>
          </w:r>
          <w:r>
            <w:tab/>
          </w:r>
          <w:r>
            <w:fldChar w:fldCharType="begin"/>
          </w:r>
          <w:r>
            <w:instrText xml:space="preserve"> PAGEREF _Toc29610 \h </w:instrText>
          </w:r>
          <w:r>
            <w:fldChar w:fldCharType="separate"/>
          </w:r>
          <w:r>
            <w:t>16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_Toc21879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仿宋" w:hAnsi="仿宋" w:eastAsia="仿宋" w:cs="仿宋"/>
            </w:rPr>
            <w:t>5.文化事业建设费申报</w:t>
          </w:r>
          <w:r>
            <w:tab/>
          </w:r>
          <w:r>
            <w:fldChar w:fldCharType="begin"/>
          </w:r>
          <w:r>
            <w:instrText xml:space="preserve"> PAGEREF _Toc21879 \h </w:instrText>
          </w:r>
          <w:r>
            <w:fldChar w:fldCharType="separate"/>
          </w:r>
          <w:r>
            <w:t>16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_Toc31813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ascii="仿宋" w:hAnsi="仿宋" w:eastAsia="仿宋" w:cs="仿宋"/>
            </w:rPr>
            <w:t>6</w:t>
          </w:r>
          <w:r>
            <w:rPr>
              <w:rFonts w:hint="eastAsia" w:ascii="仿宋" w:hAnsi="仿宋" w:eastAsia="仿宋" w:cs="仿宋"/>
            </w:rPr>
            <w:t>.城镇垃圾处理费申报</w:t>
          </w:r>
          <w:r>
            <w:tab/>
          </w:r>
          <w:r>
            <w:fldChar w:fldCharType="begin"/>
          </w:r>
          <w:r>
            <w:instrText xml:space="preserve"> PAGEREF _Toc31813 \h </w:instrText>
          </w:r>
          <w:r>
            <w:fldChar w:fldCharType="separate"/>
          </w:r>
          <w:r>
            <w:t>16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_Toc20841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ascii="仿宋" w:hAnsi="仿宋" w:eastAsia="仿宋" w:cs="仿宋"/>
            </w:rPr>
            <w:t>7</w:t>
          </w:r>
          <w:r>
            <w:rPr>
              <w:rFonts w:hint="eastAsia" w:ascii="仿宋" w:hAnsi="仿宋" w:eastAsia="仿宋" w:cs="仿宋"/>
            </w:rPr>
            <w:t>.排污权出让收入申报</w:t>
          </w:r>
          <w:r>
            <w:tab/>
          </w:r>
          <w:r>
            <w:fldChar w:fldCharType="begin"/>
          </w:r>
          <w:r>
            <w:instrText xml:space="preserve"> PAGEREF _Toc20841 \h </w:instrText>
          </w:r>
          <w:r>
            <w:fldChar w:fldCharType="separate"/>
          </w:r>
          <w:r>
            <w:t>19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_Toc10947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ascii="仿宋" w:hAnsi="仿宋" w:eastAsia="仿宋" w:cs="仿宋"/>
            </w:rPr>
            <w:t>8</w:t>
          </w:r>
          <w:r>
            <w:rPr>
              <w:rFonts w:hint="eastAsia" w:ascii="仿宋" w:hAnsi="仿宋" w:eastAsia="仿宋" w:cs="仿宋"/>
            </w:rPr>
            <w:t>.可再生能源发展基金申报</w:t>
          </w:r>
          <w:r>
            <w:tab/>
          </w:r>
          <w:r>
            <w:fldChar w:fldCharType="begin"/>
          </w:r>
          <w:r>
            <w:instrText xml:space="preserve"> PAGEREF _Toc10947 \h </w:instrText>
          </w:r>
          <w:r>
            <w:fldChar w:fldCharType="separate"/>
          </w:r>
          <w:r>
            <w:t>20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_Toc13335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ascii="仿宋" w:hAnsi="仿宋" w:eastAsia="仿宋" w:cs="仿宋"/>
            </w:rPr>
            <w:t>9</w:t>
          </w:r>
          <w:r>
            <w:rPr>
              <w:rFonts w:hint="eastAsia" w:ascii="仿宋" w:hAnsi="仿宋" w:eastAsia="仿宋" w:cs="仿宋"/>
            </w:rPr>
            <w:t>.大中型水库移民后期扶持基金申报</w:t>
          </w:r>
          <w:r>
            <w:tab/>
          </w:r>
          <w:r>
            <w:fldChar w:fldCharType="begin"/>
          </w:r>
          <w:r>
            <w:instrText xml:space="preserve"> PAGEREF _Toc13335 \h </w:instrText>
          </w:r>
          <w:r>
            <w:fldChar w:fldCharType="separate"/>
          </w:r>
          <w:r>
            <w:t>20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_Toc14562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ascii="仿宋" w:hAnsi="仿宋" w:eastAsia="仿宋" w:cs="仿宋"/>
            </w:rPr>
            <w:t>10</w:t>
          </w:r>
          <w:r>
            <w:rPr>
              <w:rFonts w:hint="eastAsia" w:ascii="仿宋" w:hAnsi="仿宋" w:eastAsia="仿宋" w:cs="仿宋"/>
            </w:rPr>
            <w:t>.国家重大水利工程建设基金收入申报</w:t>
          </w:r>
          <w:r>
            <w:tab/>
          </w:r>
          <w:r>
            <w:fldChar w:fldCharType="begin"/>
          </w:r>
          <w:r>
            <w:instrText xml:space="preserve"> PAGEREF _Toc14562 \h </w:instrText>
          </w:r>
          <w:r>
            <w:fldChar w:fldCharType="separate"/>
          </w:r>
          <w:r>
            <w:t>21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_Toc25952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仿宋" w:hAnsi="仿宋" w:eastAsia="仿宋" w:cs="仿宋"/>
            </w:rPr>
            <w:t>1</w:t>
          </w:r>
          <w:r>
            <w:rPr>
              <w:rFonts w:ascii="仿宋" w:hAnsi="仿宋" w:eastAsia="仿宋" w:cs="仿宋"/>
            </w:rPr>
            <w:t>1.</w:t>
          </w:r>
          <w:r>
            <w:rPr>
              <w:rFonts w:hint="eastAsia" w:ascii="仿宋" w:hAnsi="仿宋" w:eastAsia="仿宋" w:cs="仿宋"/>
            </w:rPr>
            <w:t>教育费附加</w:t>
          </w:r>
          <w:r>
            <w:tab/>
          </w:r>
          <w:r>
            <w:fldChar w:fldCharType="begin"/>
          </w:r>
          <w:r>
            <w:instrText xml:space="preserve"> PAGEREF _Toc25952 \h </w:instrText>
          </w:r>
          <w:r>
            <w:fldChar w:fldCharType="separate"/>
          </w:r>
          <w:r>
            <w:t>21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_Toc6072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仿宋" w:hAnsi="仿宋" w:eastAsia="仿宋" w:cs="仿宋"/>
            </w:rPr>
            <w:t>1</w:t>
          </w:r>
          <w:r>
            <w:rPr>
              <w:rFonts w:ascii="仿宋" w:hAnsi="仿宋" w:eastAsia="仿宋" w:cs="仿宋"/>
            </w:rPr>
            <w:t>2.</w:t>
          </w:r>
          <w:r>
            <w:rPr>
              <w:rFonts w:hint="eastAsia" w:ascii="仿宋" w:hAnsi="仿宋" w:eastAsia="仿宋" w:cs="仿宋"/>
            </w:rPr>
            <w:t>地方教育费附加</w:t>
          </w:r>
          <w:r>
            <w:tab/>
          </w:r>
          <w:r>
            <w:fldChar w:fldCharType="begin"/>
          </w:r>
          <w:r>
            <w:instrText xml:space="preserve"> PAGEREF _Toc6072 \h </w:instrText>
          </w:r>
          <w:r>
            <w:fldChar w:fldCharType="separate"/>
          </w:r>
          <w:r>
            <w:t>21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8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_Toc24555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黑体" w:hAnsi="黑体" w:eastAsia="黑体" w:cs="黑体"/>
              <w:szCs w:val="32"/>
              <w:lang w:eastAsia="zh-CN"/>
            </w:rPr>
            <w:t>四、</w:t>
          </w:r>
          <w:r>
            <w:rPr>
              <w:rFonts w:hint="eastAsia" w:ascii="黑体" w:hAnsi="黑体" w:eastAsia="黑体" w:cs="黑体"/>
              <w:szCs w:val="32"/>
            </w:rPr>
            <w:t>完税证明开具及查询</w:t>
          </w:r>
          <w:r>
            <w:tab/>
          </w:r>
          <w:r>
            <w:fldChar w:fldCharType="begin"/>
          </w:r>
          <w:r>
            <w:instrText xml:space="preserve"> PAGEREF _Toc24555 \h </w:instrText>
          </w:r>
          <w:r>
            <w:fldChar w:fldCharType="separate"/>
          </w:r>
          <w:r>
            <w:t>21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8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_Toc5523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黑体" w:hAnsi="黑体" w:eastAsia="黑体" w:cs="黑体"/>
              <w:szCs w:val="32"/>
              <w:lang w:eastAsia="zh-CN"/>
            </w:rPr>
            <w:t>五、</w:t>
          </w:r>
          <w:r>
            <w:rPr>
              <w:rFonts w:hint="eastAsia" w:ascii="黑体" w:hAnsi="黑体" w:eastAsia="黑体" w:cs="黑体"/>
              <w:szCs w:val="32"/>
            </w:rPr>
            <w:t>申报信息查询</w:t>
          </w:r>
          <w:r>
            <w:tab/>
          </w:r>
          <w:r>
            <w:fldChar w:fldCharType="begin"/>
          </w:r>
          <w:r>
            <w:instrText xml:space="preserve"> PAGEREF _Toc5523 \h </w:instrText>
          </w:r>
          <w:r>
            <w:fldChar w:fldCharType="separate"/>
          </w:r>
          <w:r>
            <w:t>23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pStyle w:val="8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begin"/>
          </w:r>
          <w:r>
            <w:rPr>
              <w:rFonts w:hint="eastAsia" w:ascii="黑体" w:hAnsi="黑体" w:eastAsia="黑体" w:cs="黑体"/>
              <w:bCs/>
              <w:szCs w:val="40"/>
            </w:rPr>
            <w:instrText xml:space="preserve"> HYPERLINK \l _Toc1543 </w:instrText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separate"/>
          </w:r>
          <w:r>
            <w:rPr>
              <w:rFonts w:hint="eastAsia" w:ascii="黑体" w:hAnsi="黑体" w:eastAsia="黑体" w:cs="黑体"/>
              <w:szCs w:val="32"/>
              <w:lang w:eastAsia="zh-CN"/>
            </w:rPr>
            <w:t>六、</w:t>
          </w:r>
          <w:r>
            <w:rPr>
              <w:rFonts w:hint="eastAsia" w:ascii="黑体" w:hAnsi="黑体" w:eastAsia="黑体" w:cs="黑体"/>
              <w:szCs w:val="32"/>
            </w:rPr>
            <w:t>申报作废</w:t>
          </w:r>
          <w:r>
            <w:tab/>
          </w:r>
          <w:r>
            <w:fldChar w:fldCharType="begin"/>
          </w:r>
          <w:r>
            <w:instrText xml:space="preserve"> PAGEREF _Toc1543 \h </w:instrText>
          </w:r>
          <w:r>
            <w:fldChar w:fldCharType="separate"/>
          </w:r>
          <w:r>
            <w:t>24</w:t>
          </w:r>
          <w:r>
            <w:fldChar w:fldCharType="end"/>
          </w: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  <w:p>
          <w:pPr>
            <w:spacing w:before="312" w:beforeLines="100" w:after="156" w:afterLines="50" w:line="360" w:lineRule="auto"/>
            <w:rPr>
              <w:rFonts w:ascii="黑体" w:hAnsi="黑体" w:eastAsia="黑体" w:cs="黑体"/>
              <w:b/>
              <w:bCs/>
              <w:sz w:val="32"/>
              <w:szCs w:val="32"/>
            </w:rPr>
          </w:pPr>
          <w:r>
            <w:rPr>
              <w:rFonts w:hint="eastAsia" w:ascii="黑体" w:hAnsi="黑体" w:eastAsia="黑体" w:cs="黑体"/>
              <w:bCs/>
              <w:szCs w:val="40"/>
            </w:rPr>
            <w:fldChar w:fldCharType="end"/>
          </w:r>
        </w:p>
      </w:sdtContent>
    </w:sdt>
    <w:p>
      <w:pPr>
        <w:pStyle w:val="2"/>
        <w:numPr>
          <w:ilvl w:val="0"/>
          <w:numId w:val="1"/>
        </w:numPr>
        <w:spacing w:before="312" w:beforeLines="100" w:after="156" w:afterLines="50" w:line="360" w:lineRule="auto"/>
        <w:rPr>
          <w:rFonts w:ascii="黑体" w:hAnsi="黑体" w:eastAsia="黑体" w:cs="黑体"/>
          <w:sz w:val="28"/>
          <w:szCs w:val="28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2"/>
        <w:numPr>
          <w:ilvl w:val="0"/>
          <w:numId w:val="2"/>
        </w:numPr>
        <w:spacing w:before="312" w:beforeLines="100" w:after="156" w:afterLines="50" w:line="360" w:lineRule="auto"/>
        <w:ind w:left="0" w:leftChars="0" w:firstLine="420" w:firstLineChars="0"/>
        <w:rPr>
          <w:rFonts w:ascii="黑体" w:hAnsi="黑体" w:eastAsia="黑体" w:cs="黑体"/>
          <w:sz w:val="32"/>
          <w:szCs w:val="32"/>
        </w:rPr>
      </w:pPr>
      <w:bookmarkStart w:id="0" w:name="_Toc13745"/>
      <w:r>
        <w:rPr>
          <w:rFonts w:hint="eastAsia" w:ascii="黑体" w:hAnsi="黑体" w:eastAsia="黑体" w:cs="黑体"/>
          <w:sz w:val="32"/>
          <w:szCs w:val="32"/>
        </w:rPr>
        <w:t>前言</w:t>
      </w:r>
      <w:bookmarkEnd w:id="0"/>
    </w:p>
    <w:p>
      <w:pPr>
        <w:numPr>
          <w:ilvl w:val="0"/>
          <w:numId w:val="0"/>
        </w:num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为了进一步优化缴费服务，拓展缴费渠道，方便缴费人网上缴费，宁夏区税务局对</w:t>
      </w:r>
      <w:r>
        <w:rPr>
          <w:rFonts w:hint="eastAsia" w:ascii="仿宋" w:hAnsi="仿宋" w:eastAsia="仿宋" w:cs="仿宋"/>
          <w:sz w:val="32"/>
          <w:szCs w:val="32"/>
        </w:rPr>
        <w:t>电子税务局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进行升级优化，开发了“非税收入联合通办”功能，并对</w:t>
      </w:r>
      <w:r>
        <w:rPr>
          <w:rFonts w:hint="eastAsia" w:ascii="仿宋" w:hAnsi="仿宋" w:eastAsia="仿宋" w:cs="仿宋"/>
          <w:sz w:val="32"/>
          <w:szCs w:val="32"/>
        </w:rPr>
        <w:t>原非税收入通用申报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功能进行调整优化，实现</w:t>
      </w:r>
      <w:r>
        <w:rPr>
          <w:rFonts w:hint="eastAsia" w:ascii="仿宋" w:hAnsi="仿宋" w:eastAsia="仿宋" w:cs="仿宋"/>
          <w:sz w:val="32"/>
          <w:szCs w:val="32"/>
        </w:rPr>
        <w:t>可再生能源发展基金、大中型水库移民后期扶持基金、国家重大水利工程建设基金收入、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水利基金、工会收入等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17项非税收入线上申报。实时向缴费人同步传输土地出让金、</w:t>
      </w:r>
      <w:r>
        <w:rPr>
          <w:rFonts w:hint="eastAsia" w:ascii="仿宋" w:hAnsi="仿宋" w:eastAsia="仿宋" w:cs="仿宋"/>
          <w:sz w:val="32"/>
          <w:szCs w:val="32"/>
        </w:rPr>
        <w:t>土保持补偿费收入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（建设期）</w:t>
      </w:r>
      <w:r>
        <w:rPr>
          <w:rFonts w:hint="eastAsia" w:ascii="仿宋" w:hAnsi="仿宋" w:eastAsia="仿宋" w:cs="仿宋"/>
          <w:sz w:val="32"/>
          <w:szCs w:val="32"/>
        </w:rPr>
        <w:t>、防空地下室易地建设费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、土地闲置费、矿产资源专项收入等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5项政府主管部门核定征收的费种核定数据，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申报表单数据直接生成，缴费人只需选择是否确认申报，不必再次录入申报数据，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实现费种申报信息预填，大幅减轻缴费人操作量。</w:t>
      </w:r>
      <w:r>
        <w:rPr>
          <w:rFonts w:hint="eastAsia" w:ascii="仿宋" w:hAnsi="仿宋" w:eastAsia="仿宋" w:cs="仿宋"/>
          <w:sz w:val="32"/>
          <w:szCs w:val="32"/>
        </w:rPr>
        <w:t>下面将分类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介绍各费种的</w:t>
      </w:r>
      <w:r>
        <w:rPr>
          <w:rFonts w:hint="eastAsia" w:ascii="仿宋" w:hAnsi="仿宋" w:eastAsia="仿宋" w:cs="仿宋"/>
          <w:sz w:val="32"/>
          <w:szCs w:val="32"/>
        </w:rPr>
        <w:t>操作流程、缴款方式、申报查询及完税证明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开具，希望对广大缴费人有所帮助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drawing>
          <wp:inline distT="0" distB="0" distL="114300" distR="114300">
            <wp:extent cx="5271135" cy="3005455"/>
            <wp:effectExtent l="0" t="0" r="5715" b="4445"/>
            <wp:docPr id="6" name="图片 6" descr="0880c4c80710969795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880c4c807109697950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005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2"/>
        </w:numPr>
        <w:spacing w:before="312" w:beforeLines="100" w:after="156" w:afterLines="50" w:line="360" w:lineRule="auto"/>
        <w:ind w:left="0" w:leftChars="0" w:firstLine="420" w:firstLineChars="0"/>
        <w:rPr>
          <w:rFonts w:ascii="黑体" w:hAnsi="黑体" w:eastAsia="黑体" w:cs="黑体"/>
          <w:sz w:val="32"/>
          <w:szCs w:val="32"/>
        </w:rPr>
      </w:pPr>
      <w:bookmarkStart w:id="1" w:name="_Toc6810"/>
      <w:r>
        <w:rPr>
          <w:rFonts w:hint="eastAsia" w:ascii="黑体" w:hAnsi="黑体" w:eastAsia="黑体" w:cs="黑体"/>
          <w:sz w:val="32"/>
          <w:szCs w:val="32"/>
        </w:rPr>
        <w:t>登录</w:t>
      </w:r>
      <w:bookmarkEnd w:id="1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打开国家税务总局宁夏回族自治区电子税务局。</w:t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2880" cy="2592070"/>
            <wp:effectExtent l="0" t="0" r="13970" b="17780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3" w:firstLineChars="2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前置条件：</w:t>
      </w:r>
    </w:p>
    <w:p>
      <w:pPr>
        <w:numPr>
          <w:ilvl w:val="0"/>
          <w:numId w:val="3"/>
        </w:num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缴费人必须为已做过税务登记的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缴费</w:t>
      </w:r>
      <w:r>
        <w:rPr>
          <w:rFonts w:hint="eastAsia" w:ascii="仿宋" w:hAnsi="仿宋" w:eastAsia="仿宋" w:cs="仿宋"/>
          <w:sz w:val="32"/>
          <w:szCs w:val="32"/>
        </w:rPr>
        <w:t>人。也可通过电子税务局‘已登记纳税人注册、新办纳税人注册、跨省报验户报验登记注册、自然人注册’功能完成注册登记。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（2）缴费人必须先做实名采集，才可完成注册。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实名采集路径：</w:t>
      </w:r>
      <w:r>
        <w:rPr>
          <w:rFonts w:hint="eastAsia" w:ascii="仿宋" w:hAnsi="仿宋" w:eastAsia="仿宋" w:cs="仿宋"/>
          <w:sz w:val="32"/>
          <w:szCs w:val="32"/>
        </w:rPr>
        <w:t>微信关注公众号‘宁夏税务’，选择【咨询】-【实名办税】，完成实名采集。</w:t>
      </w:r>
    </w:p>
    <w:p>
      <w:pPr>
        <w:pStyle w:val="3"/>
        <w:numPr>
          <w:ilvl w:val="0"/>
          <w:numId w:val="4"/>
        </w:numPr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2" w:name="_Toc12783"/>
      <w:bookmarkStart w:id="3" w:name="_Toc7875"/>
      <w:bookmarkStart w:id="4" w:name="_Toc5408"/>
      <w:r>
        <w:rPr>
          <w:rFonts w:hint="eastAsia" w:ascii="仿宋" w:hAnsi="仿宋" w:eastAsia="仿宋" w:cs="仿宋"/>
        </w:rPr>
        <w:t>企业及自然人注册流程</w:t>
      </w:r>
      <w:bookmarkEnd w:id="2"/>
      <w:bookmarkEnd w:id="3"/>
      <w:bookmarkEnd w:id="4"/>
    </w:p>
    <w:p>
      <w:pPr>
        <w:pStyle w:val="4"/>
        <w:numPr>
          <w:ilvl w:val="0"/>
          <w:numId w:val="5"/>
        </w:numPr>
        <w:spacing w:before="156" w:beforeLines="50" w:after="156" w:afterLines="50" w:line="360" w:lineRule="auto"/>
        <w:rPr>
          <w:rFonts w:ascii="仿宋" w:hAnsi="仿宋" w:eastAsia="仿宋" w:cs="仿宋"/>
          <w:bCs/>
          <w:szCs w:val="32"/>
        </w:rPr>
      </w:pPr>
      <w:bookmarkStart w:id="5" w:name="_Toc9731"/>
      <w:bookmarkStart w:id="6" w:name="_Toc6783"/>
      <w:bookmarkStart w:id="7" w:name="_Toc28736"/>
      <w:r>
        <w:rPr>
          <w:rFonts w:hint="eastAsia" w:ascii="仿宋" w:hAnsi="仿宋" w:eastAsia="仿宋" w:cs="仿宋"/>
        </w:rPr>
        <w:t>企业注册</w:t>
      </w:r>
      <w:bookmarkEnd w:id="5"/>
      <w:bookmarkEnd w:id="6"/>
      <w:bookmarkEnd w:id="7"/>
    </w:p>
    <w:p>
      <w:pPr>
        <w:spacing w:line="360" w:lineRule="auto"/>
        <w:ind w:firstLine="643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操作流程：</w:t>
      </w:r>
      <w:r>
        <w:rPr>
          <w:rFonts w:hint="eastAsia" w:ascii="仿宋" w:hAnsi="仿宋" w:eastAsia="仿宋" w:cs="仿宋"/>
          <w:sz w:val="32"/>
          <w:szCs w:val="32"/>
        </w:rPr>
        <w:t>【登录】-【企业业务】-【企业注册】-【已登记纳税人注册】/【新办纳税人注册】/【跨省报验户报验登记注册】，选择相应功能完成注册，其中【新办纳税人注册】与【跨省报验户报验登记注册】提交成功后需由税务机关审核受理通过才可登录电子税务局。</w:t>
      </w:r>
    </w:p>
    <w:p>
      <w:pPr>
        <w:spacing w:line="360" w:lineRule="auto"/>
      </w:pPr>
      <w:r>
        <w:drawing>
          <wp:inline distT="0" distB="0" distL="114300" distR="114300">
            <wp:extent cx="5262880" cy="2592070"/>
            <wp:effectExtent l="0" t="0" r="13970" b="17780"/>
            <wp:docPr id="3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6690" cy="2592070"/>
            <wp:effectExtent l="0" t="0" r="10160" b="17780"/>
            <wp:docPr id="24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5"/>
        </w:numPr>
        <w:spacing w:before="156" w:beforeLines="50" w:after="156" w:afterLines="50" w:line="360" w:lineRule="auto"/>
        <w:rPr>
          <w:rFonts w:ascii="仿宋" w:hAnsi="仿宋" w:eastAsia="仿宋" w:cs="仿宋"/>
          <w:bCs/>
          <w:szCs w:val="32"/>
        </w:rPr>
      </w:pPr>
      <w:bookmarkStart w:id="8" w:name="_Toc16601"/>
      <w:bookmarkStart w:id="9" w:name="_Toc3481"/>
      <w:bookmarkStart w:id="10" w:name="_Toc27509"/>
      <w:r>
        <w:rPr>
          <w:rFonts w:hint="eastAsia" w:ascii="仿宋" w:hAnsi="仿宋" w:eastAsia="仿宋" w:cs="仿宋"/>
        </w:rPr>
        <w:t>自然人注册</w:t>
      </w:r>
      <w:bookmarkEnd w:id="8"/>
      <w:bookmarkEnd w:id="9"/>
      <w:bookmarkEnd w:id="10"/>
    </w:p>
    <w:p>
      <w:pPr>
        <w:spacing w:line="360" w:lineRule="auto"/>
        <w:ind w:firstLine="643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操作流程：</w:t>
      </w:r>
      <w:r>
        <w:rPr>
          <w:rFonts w:hint="eastAsia" w:ascii="仿宋" w:hAnsi="仿宋" w:eastAsia="仿宋" w:cs="仿宋"/>
          <w:sz w:val="32"/>
          <w:szCs w:val="32"/>
        </w:rPr>
        <w:t>【登录】-【自然人业务】-【自然人注册】-【通过银行卡进行实名认证】/【通过居民身份证进行实名认证】，选择一种认证方式完成注册即可登录电子税务局。</w:t>
      </w:r>
    </w:p>
    <w:p>
      <w:pPr>
        <w:spacing w:line="360" w:lineRule="auto"/>
      </w:pPr>
      <w:r>
        <w:drawing>
          <wp:inline distT="0" distB="0" distL="114300" distR="114300">
            <wp:extent cx="5264785" cy="2592070"/>
            <wp:effectExtent l="0" t="0" r="12065" b="17780"/>
            <wp:docPr id="25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</w:pPr>
      <w:r>
        <w:drawing>
          <wp:inline distT="0" distB="0" distL="114300" distR="114300">
            <wp:extent cx="5266690" cy="2592070"/>
            <wp:effectExtent l="0" t="0" r="10160" b="17780"/>
            <wp:docPr id="2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4"/>
        </w:numPr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11" w:name="_Toc7263"/>
      <w:bookmarkStart w:id="12" w:name="_Toc24006"/>
      <w:bookmarkStart w:id="13" w:name="_Toc19974"/>
      <w:r>
        <w:rPr>
          <w:rFonts w:hint="eastAsia" w:ascii="仿宋" w:hAnsi="仿宋" w:eastAsia="仿宋" w:cs="仿宋"/>
        </w:rPr>
        <w:t>企业及自然人登录流程</w:t>
      </w:r>
      <w:bookmarkEnd w:id="11"/>
      <w:bookmarkEnd w:id="12"/>
      <w:bookmarkEnd w:id="13"/>
    </w:p>
    <w:p>
      <w:pPr>
        <w:pStyle w:val="3"/>
        <w:numPr>
          <w:ilvl w:val="0"/>
          <w:numId w:val="6"/>
        </w:numPr>
        <w:spacing w:before="156" w:beforeLines="50" w:after="156" w:afterLines="50" w:line="360" w:lineRule="auto"/>
        <w:rPr>
          <w:rFonts w:ascii="仿宋" w:hAnsi="仿宋" w:eastAsia="仿宋" w:cs="仿宋"/>
        </w:rPr>
      </w:pPr>
      <w:bookmarkStart w:id="14" w:name="_Toc31736"/>
      <w:r>
        <w:rPr>
          <w:rFonts w:hint="eastAsia" w:ascii="仿宋" w:hAnsi="仿宋" w:eastAsia="仿宋" w:cs="仿宋"/>
        </w:rPr>
        <w:t>企业登录</w:t>
      </w:r>
      <w:bookmarkEnd w:id="14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点击右上角【登录】，在登录窗口选择【企业业务】，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缴费</w:t>
      </w:r>
      <w:r>
        <w:rPr>
          <w:rFonts w:hint="eastAsia" w:ascii="仿宋" w:hAnsi="仿宋" w:eastAsia="仿宋" w:cs="仿宋"/>
          <w:sz w:val="32"/>
          <w:szCs w:val="32"/>
        </w:rPr>
        <w:t>人可自行选择登录方式：快捷登录或普通登录。</w:t>
      </w:r>
    </w:p>
    <w:p>
      <w:pPr>
        <w:spacing w:line="360" w:lineRule="auto"/>
        <w:ind w:firstLine="643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快捷登录：</w:t>
      </w:r>
      <w:r>
        <w:rPr>
          <w:rFonts w:hint="eastAsia" w:ascii="仿宋" w:hAnsi="仿宋" w:eastAsia="仿宋" w:cs="仿宋"/>
          <w:sz w:val="32"/>
          <w:szCs w:val="32"/>
        </w:rPr>
        <w:t>需输入社会信用代码/纳税人识别号、企业登录密码、选择登录人员身份、对应身份已实名采集的手机号码及短信验证码完成登录。</w:t>
      </w:r>
    </w:p>
    <w:p>
      <w:pPr>
        <w:spacing w:line="360" w:lineRule="auto"/>
        <w:ind w:firstLine="643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普通登录：</w:t>
      </w:r>
      <w:r>
        <w:rPr>
          <w:rFonts w:hint="eastAsia" w:ascii="仿宋" w:hAnsi="仿宋" w:eastAsia="仿宋" w:cs="仿宋"/>
          <w:sz w:val="32"/>
          <w:szCs w:val="32"/>
        </w:rPr>
        <w:t>需输入社会信用代码/纳税人识别号、企业登录密码、完成图形验证后点击【登录】，跳转登录身份选择页面，选择登录身份后可通过短信验证码或个人密码继续完成登录。</w:t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2880" cy="2592070"/>
            <wp:effectExtent l="0" t="0" r="13970" b="17780"/>
            <wp:docPr id="9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6"/>
        </w:numPr>
        <w:spacing w:before="156" w:beforeLines="50" w:after="156" w:afterLines="50" w:line="360" w:lineRule="auto"/>
        <w:rPr>
          <w:rFonts w:ascii="仿宋" w:hAnsi="仿宋" w:eastAsia="仿宋" w:cs="仿宋"/>
        </w:rPr>
      </w:pPr>
      <w:bookmarkStart w:id="15" w:name="_Toc15014"/>
      <w:r>
        <w:rPr>
          <w:rFonts w:hint="eastAsia" w:ascii="仿宋" w:hAnsi="仿宋" w:eastAsia="仿宋" w:cs="仿宋"/>
        </w:rPr>
        <w:t>自然人登录</w:t>
      </w:r>
      <w:bookmarkEnd w:id="15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点击右上角【登录】，在登录窗口选择【自然人业务】，输入用户注册名（身份证号或手机号）、自然人登录密码、完成图形验证后并获取短信验证码进行登录。</w:t>
      </w:r>
    </w:p>
    <w:p>
      <w:pPr>
        <w:spacing w:line="360" w:lineRule="auto"/>
        <w:rPr>
          <w:rFonts w:ascii="黑体" w:hAnsi="黑体" w:eastAsia="黑体" w:cs="黑体"/>
          <w:b/>
          <w:bCs/>
          <w:sz w:val="32"/>
          <w:szCs w:val="32"/>
        </w:rPr>
      </w:pPr>
      <w:r>
        <w:drawing>
          <wp:inline distT="0" distB="0" distL="114300" distR="114300">
            <wp:extent cx="5264785" cy="2584450"/>
            <wp:effectExtent l="0" t="0" r="12065" b="6350"/>
            <wp:docPr id="1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8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16" w:name="_Toc2235"/>
      <w:r>
        <w:rPr>
          <w:rFonts w:hint="eastAsia" w:ascii="黑体" w:hAnsi="黑体" w:eastAsia="黑体" w:cs="黑体"/>
          <w:sz w:val="32"/>
          <w:szCs w:val="32"/>
        </w:rPr>
        <w:t>三、非税收入申报操作流程</w:t>
      </w:r>
      <w:bookmarkEnd w:id="16"/>
    </w:p>
    <w:p>
      <w:pPr>
        <w:pStyle w:val="3"/>
        <w:spacing w:before="312" w:beforeLines="100" w:after="156" w:afterLines="50" w:line="360" w:lineRule="auto"/>
        <w:ind w:firstLine="643" w:firstLineChars="200"/>
        <w:rPr>
          <w:rFonts w:ascii="仿宋" w:hAnsi="仿宋" w:eastAsia="仿宋" w:cs="仿宋"/>
        </w:rPr>
      </w:pPr>
      <w:bookmarkStart w:id="17" w:name="_Toc5388"/>
      <w:r>
        <w:rPr>
          <w:rFonts w:hint="eastAsia" w:ascii="仿宋" w:hAnsi="仿宋" w:eastAsia="仿宋" w:cs="仿宋"/>
        </w:rPr>
        <w:t>（一）需</w:t>
      </w:r>
      <w:r>
        <w:rPr>
          <w:rFonts w:hint="eastAsia" w:ascii="仿宋" w:hAnsi="仿宋" w:eastAsia="仿宋" w:cs="仿宋"/>
          <w:lang w:eastAsia="zh-CN"/>
        </w:rPr>
        <w:t>由行政主管部门核定并</w:t>
      </w:r>
      <w:r>
        <w:rPr>
          <w:rFonts w:hint="eastAsia" w:ascii="仿宋" w:hAnsi="仿宋" w:eastAsia="仿宋" w:cs="仿宋"/>
        </w:rPr>
        <w:t>进行</w:t>
      </w:r>
      <w:r>
        <w:fldChar w:fldCharType="begin"/>
      </w:r>
      <w:r>
        <w:instrText xml:space="preserve"> HYPERLINK "http://yscwssbds.nxsw.tax.cn:7101/sword?ctrl=LnGdsPortalCtrl_initPageDsf&amp;gnlj=/sword?ctrl=SB501KczyzxsrcjCtrl_initView&amp;func_url=/sword?ctrl=SB501KczyzxsrcjCtrl_initView&amp;func_caption=%E7%9F%BF%E4%BA%A7%E8%B5%84%E6%BA%90%E4%B8%93%E9%A1%B9%E6%94%B6%E5%85%A5%E4%BF%A1%E6%81%AF%E9%87%87%E9%9B%86&amp;gndm=XB51000100000625" </w:instrText>
      </w:r>
      <w:r>
        <w:fldChar w:fldCharType="separate"/>
      </w:r>
      <w:r>
        <w:rPr>
          <w:rFonts w:hint="eastAsia" w:ascii="仿宋" w:hAnsi="仿宋" w:eastAsia="仿宋" w:cs="仿宋"/>
        </w:rPr>
        <w:t>费源信息采集</w:t>
      </w:r>
      <w:r>
        <w:rPr>
          <w:rFonts w:hint="eastAsia" w:ascii="仿宋" w:hAnsi="仿宋" w:eastAsia="仿宋" w:cs="仿宋"/>
        </w:rPr>
        <w:fldChar w:fldCharType="end"/>
      </w:r>
      <w:r>
        <w:rPr>
          <w:rFonts w:hint="eastAsia" w:ascii="仿宋" w:hAnsi="仿宋" w:eastAsia="仿宋" w:cs="仿宋"/>
          <w:lang w:eastAsia="zh-CN"/>
        </w:rPr>
        <w:t>后</w:t>
      </w:r>
      <w:r>
        <w:rPr>
          <w:rFonts w:hint="eastAsia" w:ascii="仿宋" w:hAnsi="仿宋" w:eastAsia="仿宋" w:cs="仿宋"/>
        </w:rPr>
        <w:t>再进行申报的</w:t>
      </w:r>
      <w:r>
        <w:rPr>
          <w:rFonts w:hint="eastAsia" w:ascii="仿宋" w:hAnsi="仿宋" w:eastAsia="仿宋" w:cs="仿宋"/>
          <w:lang w:eastAsia="zh-CN"/>
        </w:rPr>
        <w:t>费</w:t>
      </w:r>
      <w:r>
        <w:rPr>
          <w:rFonts w:hint="eastAsia" w:ascii="仿宋" w:hAnsi="仿宋" w:eastAsia="仿宋" w:cs="仿宋"/>
        </w:rPr>
        <w:t>种</w:t>
      </w:r>
      <w:bookmarkEnd w:id="17"/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以下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费</w:t>
      </w:r>
      <w:r>
        <w:rPr>
          <w:rFonts w:hint="eastAsia" w:ascii="仿宋" w:hAnsi="仿宋" w:eastAsia="仿宋" w:cs="仿宋"/>
          <w:sz w:val="32"/>
          <w:szCs w:val="32"/>
        </w:rPr>
        <w:t>种必须先由行政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主管</w:t>
      </w:r>
      <w:r>
        <w:rPr>
          <w:rFonts w:hint="eastAsia" w:ascii="仿宋" w:hAnsi="仿宋" w:eastAsia="仿宋" w:cs="仿宋"/>
          <w:sz w:val="32"/>
          <w:szCs w:val="32"/>
        </w:rPr>
        <w:t>单位通过非税收入互联互通平台进行采集后，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缴费</w:t>
      </w:r>
      <w:r>
        <w:rPr>
          <w:rFonts w:hint="eastAsia" w:ascii="仿宋" w:hAnsi="仿宋" w:eastAsia="仿宋" w:cs="仿宋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再</w:t>
      </w:r>
      <w:r>
        <w:rPr>
          <w:rFonts w:hint="eastAsia" w:ascii="仿宋" w:hAnsi="仿宋" w:eastAsia="仿宋" w:cs="仿宋"/>
          <w:sz w:val="32"/>
          <w:szCs w:val="32"/>
        </w:rPr>
        <w:t>进入电子税务局进行申报。</w:t>
      </w:r>
    </w:p>
    <w:p>
      <w:pPr>
        <w:pStyle w:val="3"/>
        <w:numPr>
          <w:ilvl w:val="0"/>
          <w:numId w:val="7"/>
        </w:numPr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18" w:name="_Toc3484"/>
      <w:r>
        <w:rPr>
          <w:rFonts w:hint="eastAsia" w:ascii="仿宋" w:hAnsi="仿宋" w:eastAsia="仿宋" w:cs="仿宋"/>
        </w:rPr>
        <w:t>土地闲置费</w:t>
      </w:r>
      <w:bookmarkEnd w:id="18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征收项目为“自然资源行政事业性收费收入”对应的征收品目为“土地闲置费”。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登录进入电子税务局，点击【我要办税】-【税费申报及缴纳】-【非税收入申报】-【土地闲置费申报】进入界面；或通过首页右上角搜索框进行模糊搜索。</w:t>
      </w:r>
    </w:p>
    <w:p>
      <w:pPr>
        <w:spacing w:line="360" w:lineRule="auto"/>
      </w:pPr>
      <w:r>
        <w:drawing>
          <wp:inline distT="0" distB="0" distL="114300" distR="114300">
            <wp:extent cx="5261610" cy="2655570"/>
            <wp:effectExtent l="0" t="0" r="15240" b="11430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65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费款所属期起/止选择为同一天。</w:t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9865" cy="2573020"/>
            <wp:effectExtent l="0" t="0" r="6985" b="17780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7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进入申报页面，页面弹出提示框“当前项目适用特定非税收入项目附表录入，请录入采集数据？”点击【是】，跳转至特定非税收入项目采集界面。</w:t>
      </w:r>
    </w:p>
    <w:p>
      <w:pPr>
        <w:spacing w:line="360" w:lineRule="auto"/>
      </w:pPr>
      <w:r>
        <w:drawing>
          <wp:inline distT="0" distB="0" distL="114300" distR="114300">
            <wp:extent cx="5261610" cy="2139950"/>
            <wp:effectExtent l="0" t="0" r="15240" b="12700"/>
            <wp:docPr id="1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13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如果存在多条项目地址，需分别进行申报。</w:t>
      </w:r>
    </w:p>
    <w:p>
      <w:pPr>
        <w:spacing w:line="360" w:lineRule="auto"/>
      </w:pPr>
      <w:r>
        <w:drawing>
          <wp:inline distT="0" distB="0" distL="114300" distR="114300">
            <wp:extent cx="5273675" cy="2668270"/>
            <wp:effectExtent l="0" t="0" r="3175" b="17780"/>
            <wp:docPr id="1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68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勾选后点击【确定】，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行政主管部门采集的费种</w:t>
      </w:r>
      <w:r>
        <w:rPr>
          <w:rFonts w:hint="eastAsia" w:ascii="仿宋" w:hAnsi="仿宋" w:eastAsia="仿宋" w:cs="仿宋"/>
          <w:sz w:val="32"/>
          <w:szCs w:val="32"/>
        </w:rPr>
        <w:t>数据信息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自动</w:t>
      </w:r>
      <w:r>
        <w:rPr>
          <w:rFonts w:hint="eastAsia" w:ascii="仿宋" w:hAnsi="仿宋" w:eastAsia="仿宋" w:cs="仿宋"/>
          <w:sz w:val="32"/>
          <w:szCs w:val="32"/>
        </w:rPr>
        <w:t>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入</w:t>
      </w:r>
      <w:r>
        <w:rPr>
          <w:rFonts w:hint="eastAsia" w:ascii="仿宋" w:hAnsi="仿宋" w:eastAsia="仿宋" w:cs="仿宋"/>
          <w:sz w:val="32"/>
          <w:szCs w:val="32"/>
        </w:rPr>
        <w:t>申报页面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，自动生成申报表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73675" cy="2559685"/>
            <wp:effectExtent l="0" t="0" r="3175" b="12065"/>
            <wp:docPr id="1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5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</w:pPr>
      <w:r>
        <w:drawing>
          <wp:inline distT="0" distB="0" distL="114300" distR="114300">
            <wp:extent cx="5273675" cy="2597150"/>
            <wp:effectExtent l="0" t="0" r="3175" b="12700"/>
            <wp:docPr id="1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9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勾选页面信息，点击左上角【申报】。申报成功，根据页面提示跳转至缴款界面完成费款缴纳。</w:t>
      </w:r>
    </w:p>
    <w:p>
      <w:pPr>
        <w:spacing w:line="360" w:lineRule="auto"/>
      </w:pPr>
      <w:r>
        <w:drawing>
          <wp:inline distT="0" distB="0" distL="114300" distR="114300">
            <wp:extent cx="5265420" cy="2451735"/>
            <wp:effectExtent l="0" t="0" r="11430" b="5715"/>
            <wp:docPr id="2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7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45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</w:pPr>
      <w:r>
        <w:drawing>
          <wp:inline distT="0" distB="0" distL="114300" distR="114300">
            <wp:extent cx="5265420" cy="2447925"/>
            <wp:effectExtent l="0" t="0" r="11430" b="9525"/>
            <wp:docPr id="31" name="图片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4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若申报完成后未缴款，可通过【我要办税】-【税费申报及缴纳】-【税（费）缴纳】-【税费缴纳】完成缴费。</w:t>
      </w:r>
    </w:p>
    <w:p>
      <w:pPr>
        <w:spacing w:line="360" w:lineRule="auto"/>
      </w:pPr>
      <w:r>
        <w:drawing>
          <wp:inline distT="0" distB="0" distL="114300" distR="114300">
            <wp:extent cx="5266690" cy="2447925"/>
            <wp:effectExtent l="0" t="0" r="10160" b="9525"/>
            <wp:docPr id="19" name="图片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5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7"/>
        </w:numPr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19" w:name="_Toc2"/>
      <w:bookmarkStart w:id="20" w:name="_Toc1999"/>
      <w:r>
        <w:rPr>
          <w:rFonts w:hint="eastAsia" w:ascii="仿宋" w:hAnsi="仿宋" w:eastAsia="仿宋" w:cs="仿宋"/>
        </w:rPr>
        <w:t>防空地下室易地建设费申报</w:t>
      </w:r>
      <w:bookmarkEnd w:id="19"/>
      <w:bookmarkEnd w:id="20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征收项目为“人防办行政事业性收费收入”对应的征收品目包括：①防空地下室易地建设费；②其他收入。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操作申报及缴款流程同上。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注：如果存在不同的征收品目，需分别进行申报，征收品目和征收子目均需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由行政主管部门先</w:t>
      </w:r>
      <w:r>
        <w:rPr>
          <w:rFonts w:hint="eastAsia" w:ascii="仿宋" w:hAnsi="仿宋" w:eastAsia="仿宋" w:cs="仿宋"/>
          <w:sz w:val="32"/>
          <w:szCs w:val="32"/>
        </w:rPr>
        <w:t>进行费源采集，根据采集的费源信息进行选择。</w:t>
      </w:r>
    </w:p>
    <w:p>
      <w:pPr>
        <w:pStyle w:val="3"/>
        <w:numPr>
          <w:ilvl w:val="0"/>
          <w:numId w:val="7"/>
        </w:numPr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21" w:name="_Toc30781"/>
      <w:r>
        <w:rPr>
          <w:rFonts w:hint="eastAsia" w:ascii="仿宋" w:hAnsi="仿宋" w:eastAsia="仿宋" w:cs="仿宋"/>
        </w:rPr>
        <w:t>矿产资源专项收入申报</w:t>
      </w:r>
      <w:bookmarkEnd w:id="21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征收项目为“矿产资源专项收入”对应的征收品目包括“矿产资源补偿费收入”、“探矿权、采矿权使用费收入”、“矿业权出让收益”、“矿业权占用费收入”、“滞纳金”、“资金占用费”。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操作申报及缴款流程同上。</w:t>
      </w:r>
    </w:p>
    <w:p>
      <w:pPr>
        <w:pStyle w:val="3"/>
        <w:numPr>
          <w:ilvl w:val="0"/>
          <w:numId w:val="7"/>
        </w:numPr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22" w:name="_Toc10703"/>
      <w:r>
        <w:rPr>
          <w:rFonts w:hint="eastAsia" w:ascii="仿宋" w:hAnsi="仿宋" w:eastAsia="仿宋" w:cs="仿宋"/>
        </w:rPr>
        <w:t>国有土地使用权出让收入</w:t>
      </w:r>
      <w:bookmarkEnd w:id="22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征收项目为“国有土地使用权出让收入”对应的征收品目包括：土地出让价款收入、补缴的土地价款、划拨土地收入、违约金、利息、其他土地出让收入。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操作申报及缴款流程同上。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需注意，若缴纳的是竞买保证金，在缴款界面只能选择【银行端查询缴款】进行缴纳。根据系统提示打印银行端查询缴税凭证至银行完成支付。</w:t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6690" cy="2592070"/>
            <wp:effectExtent l="0" t="0" r="10160" b="17780"/>
            <wp:docPr id="26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1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9865" cy="3383915"/>
            <wp:effectExtent l="0" t="0" r="6985" b="6985"/>
            <wp:docPr id="44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3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8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若选择的是其他缴款方式，系统则会给出提示“您所缴纳的费款中含有竞买保证金，请您使用‘银行端查询缴款’方式进行缴款”。</w:t>
      </w:r>
    </w:p>
    <w:p>
      <w:pPr>
        <w:spacing w:line="360" w:lineRule="auto"/>
      </w:pPr>
      <w:r>
        <w:drawing>
          <wp:inline distT="0" distB="0" distL="114300" distR="114300">
            <wp:extent cx="5266690" cy="2592070"/>
            <wp:effectExtent l="0" t="0" r="10160" b="17780"/>
            <wp:docPr id="45" name="图片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若缴纳的不是竞买保障金就只能选择其他的缴纳方式，不能选择银行端查询缴纳方式。</w:t>
      </w:r>
    </w:p>
    <w:p>
      <w:pPr>
        <w:pStyle w:val="3"/>
        <w:numPr>
          <w:ilvl w:val="0"/>
          <w:numId w:val="7"/>
        </w:numPr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23" w:name="_Toc27834"/>
      <w:r>
        <w:rPr>
          <w:rFonts w:hint="eastAsia" w:ascii="仿宋" w:hAnsi="仿宋" w:eastAsia="仿宋" w:cs="仿宋"/>
        </w:rPr>
        <w:t>水土保持补偿费收入</w:t>
      </w:r>
      <w:bookmarkEnd w:id="23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征收项目为“水土保持补偿费收入”对应的征收品目包括：①水土保持补偿费收入-建设期收入；②水土保持补偿费收入-开采期收入；③水土保持补偿费收入-其他收入。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操作申报及缴款流程同上。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注：其中②③征收品目无需行政主管单位采集，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缴费</w:t>
      </w:r>
      <w:r>
        <w:rPr>
          <w:rFonts w:hint="eastAsia" w:ascii="仿宋" w:hAnsi="仿宋" w:eastAsia="仿宋" w:cs="仿宋"/>
          <w:sz w:val="32"/>
          <w:szCs w:val="32"/>
        </w:rPr>
        <w:t>人直接进入模块申报。</w:t>
      </w:r>
    </w:p>
    <w:p>
      <w:pPr>
        <w:pStyle w:val="3"/>
        <w:spacing w:before="312" w:beforeLines="100" w:after="156" w:afterLines="50" w:line="360" w:lineRule="auto"/>
        <w:ind w:firstLine="643" w:firstLineChars="200"/>
        <w:rPr>
          <w:rFonts w:ascii="仿宋" w:hAnsi="仿宋" w:eastAsia="仿宋" w:cs="仿宋"/>
        </w:rPr>
      </w:pPr>
      <w:bookmarkStart w:id="24" w:name="_Toc15492"/>
      <w:r>
        <w:rPr>
          <w:rFonts w:hint="eastAsia" w:ascii="仿宋" w:hAnsi="仿宋" w:eastAsia="仿宋" w:cs="仿宋"/>
        </w:rPr>
        <w:t>（二）无需</w:t>
      </w:r>
      <w:r>
        <w:rPr>
          <w:rFonts w:hint="eastAsia" w:ascii="仿宋" w:hAnsi="仿宋" w:eastAsia="仿宋" w:cs="仿宋"/>
          <w:lang w:eastAsia="zh-CN"/>
        </w:rPr>
        <w:t>行政主管部门核定就可</w:t>
      </w:r>
      <w:r>
        <w:rPr>
          <w:rFonts w:hint="eastAsia" w:ascii="仿宋" w:hAnsi="仿宋" w:eastAsia="仿宋" w:cs="仿宋"/>
        </w:rPr>
        <w:t>进行申报的</w:t>
      </w:r>
      <w:r>
        <w:rPr>
          <w:rFonts w:hint="eastAsia" w:ascii="仿宋" w:hAnsi="仿宋" w:eastAsia="仿宋" w:cs="仿宋"/>
          <w:lang w:eastAsia="zh-CN"/>
        </w:rPr>
        <w:t>费</w:t>
      </w:r>
      <w:r>
        <w:rPr>
          <w:rFonts w:hint="eastAsia" w:ascii="仿宋" w:hAnsi="仿宋" w:eastAsia="仿宋" w:cs="仿宋"/>
        </w:rPr>
        <w:t>种</w:t>
      </w:r>
      <w:bookmarkEnd w:id="24"/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以下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费</w:t>
      </w:r>
      <w:r>
        <w:rPr>
          <w:rFonts w:hint="eastAsia" w:ascii="仿宋" w:hAnsi="仿宋" w:eastAsia="仿宋" w:cs="仿宋"/>
          <w:sz w:val="32"/>
          <w:szCs w:val="32"/>
        </w:rPr>
        <w:t>种在申报前是否需要做税费种认定，根据业务实际情况需要为主。如需要做税费种认定，请及时联系专管员完成税费种认定，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缴费</w:t>
      </w:r>
      <w:r>
        <w:rPr>
          <w:rFonts w:hint="eastAsia" w:ascii="仿宋" w:hAnsi="仿宋" w:eastAsia="仿宋" w:cs="仿宋"/>
          <w:sz w:val="32"/>
          <w:szCs w:val="32"/>
        </w:rPr>
        <w:t>人再进入电子税务局进行申报。</w:t>
      </w:r>
    </w:p>
    <w:p>
      <w:pPr>
        <w:rPr>
          <w:rFonts w:hint="eastAsia"/>
        </w:rPr>
      </w:pP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25" w:name="_Toc25904"/>
      <w:r>
        <w:rPr>
          <w:rFonts w:hint="eastAsia" w:ascii="仿宋" w:hAnsi="仿宋" w:eastAsia="仿宋" w:cs="仿宋"/>
        </w:rPr>
        <w:t>1.水利建设专项收入申报</w:t>
      </w:r>
      <w:bookmarkEnd w:id="25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点击【我要办税】-【税费申报及缴纳】-【非税收入申报】-【水利建设专项收入申报】进入界面；或者在搜索栏输入关键字，进行模糊查询。</w:t>
      </w:r>
    </w:p>
    <w:p>
      <w:pPr>
        <w:spacing w:line="360" w:lineRule="auto"/>
        <w:ind w:left="420" w:hanging="420" w:hangingChars="200"/>
      </w:pPr>
      <w:r>
        <w:drawing>
          <wp:inline distT="0" distB="0" distL="114300" distR="114300">
            <wp:extent cx="5261610" cy="2655570"/>
            <wp:effectExtent l="0" t="0" r="15240" b="11430"/>
            <wp:docPr id="3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65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进入申报页面，征收项目根据税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费</w:t>
      </w:r>
      <w:r>
        <w:rPr>
          <w:rFonts w:hint="eastAsia" w:ascii="仿宋" w:hAnsi="仿宋" w:eastAsia="仿宋" w:cs="仿宋"/>
          <w:sz w:val="32"/>
          <w:szCs w:val="32"/>
        </w:rPr>
        <w:t>种认定自动带出，录入‘应税项’。</w:t>
      </w:r>
    </w:p>
    <w:p>
      <w:pPr>
        <w:spacing w:line="360" w:lineRule="auto"/>
      </w:pPr>
      <w:r>
        <w:drawing>
          <wp:inline distT="0" distB="0" distL="114300" distR="114300">
            <wp:extent cx="5258435" cy="2578735"/>
            <wp:effectExtent l="0" t="0" r="18415" b="12065"/>
            <wp:docPr id="3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2578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确认数据无误后点击【申报】按钮即可完成申报。申报成功后，提示是否进行网上扣款，点击【是】跳转至缴款界面，选择缴款方式完成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费</w:t>
      </w:r>
      <w:r>
        <w:rPr>
          <w:rFonts w:hint="eastAsia" w:ascii="仿宋" w:hAnsi="仿宋" w:eastAsia="仿宋" w:cs="仿宋"/>
          <w:sz w:val="32"/>
          <w:szCs w:val="32"/>
        </w:rPr>
        <w:t>款缴纳.</w:t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7960" cy="2599690"/>
            <wp:effectExtent l="0" t="0" r="8890" b="10160"/>
            <wp:docPr id="3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4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59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26" w:name="_Toc15871"/>
      <w:r>
        <w:rPr>
          <w:rFonts w:hint="eastAsia" w:ascii="仿宋" w:hAnsi="仿宋" w:eastAsia="仿宋" w:cs="仿宋"/>
        </w:rPr>
        <w:t>2.残疾人就业保障金申报</w:t>
      </w:r>
      <w:bookmarkEnd w:id="26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点击【我要办税】-【税费申报及缴纳】-【非税收入申报】-【残疾人就业保障金申报】进入界面；或者在搜索栏输入关键字，进行模糊查询。</w:t>
      </w:r>
    </w:p>
    <w:p>
      <w:pPr>
        <w:spacing w:line="360" w:lineRule="auto"/>
      </w:pPr>
      <w:r>
        <w:drawing>
          <wp:inline distT="0" distB="0" distL="114300" distR="114300">
            <wp:extent cx="5261610" cy="2655570"/>
            <wp:effectExtent l="0" t="0" r="15240" b="11430"/>
            <wp:docPr id="3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65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进入申报页面，填写信息。</w:t>
      </w:r>
    </w:p>
    <w:p>
      <w:pPr>
        <w:spacing w:line="360" w:lineRule="auto"/>
      </w:pPr>
      <w:r>
        <w:drawing>
          <wp:inline distT="0" distB="0" distL="114300" distR="114300">
            <wp:extent cx="5258435" cy="2575560"/>
            <wp:effectExtent l="0" t="0" r="18415" b="15240"/>
            <wp:docPr id="3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6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257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确认数据无误后点击【申报】按钮即可完成申报。申报成功后，提示是否进行网上扣款，点击【是】跳转至缴款界面，选择缴款方式完成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费</w:t>
      </w:r>
      <w:r>
        <w:rPr>
          <w:rFonts w:hint="eastAsia" w:ascii="仿宋" w:hAnsi="仿宋" w:eastAsia="仿宋" w:cs="仿宋"/>
          <w:sz w:val="32"/>
          <w:szCs w:val="32"/>
        </w:rPr>
        <w:t>款缴纳.</w:t>
      </w:r>
    </w:p>
    <w:p>
      <w:pPr>
        <w:pStyle w:val="3"/>
        <w:numPr>
          <w:ilvl w:val="0"/>
          <w:numId w:val="6"/>
        </w:numPr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27" w:name="_Toc10827"/>
      <w:r>
        <w:rPr>
          <w:rFonts w:hint="eastAsia" w:ascii="仿宋" w:hAnsi="仿宋" w:eastAsia="仿宋" w:cs="仿宋"/>
        </w:rPr>
        <w:t>工会经费申报</w:t>
      </w:r>
      <w:bookmarkEnd w:id="27"/>
    </w:p>
    <w:p>
      <w:pPr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操作流程同上</w:t>
      </w:r>
    </w:p>
    <w:p>
      <w:pPr>
        <w:pStyle w:val="3"/>
        <w:numPr>
          <w:ilvl w:val="0"/>
          <w:numId w:val="6"/>
        </w:numPr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28" w:name="_Toc29610"/>
      <w:r>
        <w:rPr>
          <w:rFonts w:hint="eastAsia" w:ascii="仿宋" w:hAnsi="仿宋" w:eastAsia="仿宋" w:cs="仿宋"/>
        </w:rPr>
        <w:t>油价调控风险准备金申报</w:t>
      </w:r>
      <w:bookmarkEnd w:id="28"/>
    </w:p>
    <w:p>
      <w:r>
        <w:rPr>
          <w:rFonts w:hint="eastAsia"/>
        </w:rPr>
        <w:t xml:space="preserve">      </w:t>
      </w:r>
      <w:r>
        <w:rPr>
          <w:rFonts w:hint="eastAsia" w:ascii="仿宋" w:hAnsi="仿宋" w:eastAsia="仿宋" w:cs="仿宋"/>
          <w:sz w:val="32"/>
          <w:szCs w:val="32"/>
        </w:rPr>
        <w:t>操作流程同上</w:t>
      </w: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29" w:name="_Toc21879"/>
      <w:r>
        <w:rPr>
          <w:rFonts w:hint="eastAsia" w:ascii="仿宋" w:hAnsi="仿宋" w:eastAsia="仿宋" w:cs="仿宋"/>
        </w:rPr>
        <w:t>5.文化事业建设费申报</w:t>
      </w:r>
      <w:bookmarkEnd w:id="29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操作流程同上。</w:t>
      </w: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30" w:name="_Toc31813"/>
      <w:r>
        <w:rPr>
          <w:rFonts w:ascii="仿宋" w:hAnsi="仿宋" w:eastAsia="仿宋" w:cs="仿宋"/>
        </w:rPr>
        <w:t>6</w:t>
      </w:r>
      <w:r>
        <w:rPr>
          <w:rFonts w:hint="eastAsia" w:ascii="仿宋" w:hAnsi="仿宋" w:eastAsia="仿宋" w:cs="仿宋"/>
        </w:rPr>
        <w:t>.</w:t>
      </w:r>
      <w:bookmarkStart w:id="31" w:name="_Toc12134"/>
      <w:r>
        <w:rPr>
          <w:rFonts w:hint="eastAsia" w:ascii="仿宋" w:hAnsi="仿宋" w:eastAsia="仿宋" w:cs="仿宋"/>
        </w:rPr>
        <w:t>城镇垃圾处理费申报</w:t>
      </w:r>
      <w:bookmarkEnd w:id="30"/>
      <w:bookmarkEnd w:id="31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登录进入电子税务局，点击【我要办税】-【税费申报及缴纳】-【非税收入申报】-【城镇垃圾处理费申报】进入界面；或通过首页右上角搜索框进行模糊搜索。</w:t>
      </w:r>
    </w:p>
    <w:p>
      <w:pPr>
        <w:spacing w:before="156" w:beforeLines="50" w:after="156" w:afterLines="50" w:line="360" w:lineRule="auto"/>
      </w:pPr>
      <w:r>
        <w:drawing>
          <wp:inline distT="0" distB="0" distL="114300" distR="114300">
            <wp:extent cx="5266690" cy="2567940"/>
            <wp:effectExtent l="0" t="0" r="10160" b="3810"/>
            <wp:docPr id="3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1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自行选择所属期起/止选择时间。</w:t>
      </w:r>
    </w:p>
    <w:p>
      <w:pPr>
        <w:spacing w:before="156" w:beforeLines="50" w:after="156" w:afterLines="50" w:line="360" w:lineRule="auto"/>
      </w:pPr>
      <w:r>
        <w:drawing>
          <wp:inline distT="0" distB="0" distL="114300" distR="114300">
            <wp:extent cx="5266690" cy="2567940"/>
            <wp:effectExtent l="0" t="0" r="10160" b="3810"/>
            <wp:docPr id="3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2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进入申报页面，征收项目“建设行政事业性收费收入”，及征收品目“城镇垃圾处理费”自动带出。</w:t>
      </w:r>
    </w:p>
    <w:p>
      <w:pPr>
        <w:spacing w:before="156" w:beforeLines="50" w:after="156" w:afterLines="50" w:line="360" w:lineRule="auto"/>
      </w:pPr>
      <w:r>
        <w:drawing>
          <wp:inline distT="0" distB="0" distL="114300" distR="114300">
            <wp:extent cx="5266690" cy="2567940"/>
            <wp:effectExtent l="0" t="0" r="10160" b="3810"/>
            <wp:docPr id="4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3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填写应缴费基数后点击【申报】。</w:t>
      </w:r>
    </w:p>
    <w:p>
      <w:pPr>
        <w:spacing w:before="156" w:beforeLines="50" w:after="156" w:afterLines="50" w:line="360" w:lineRule="auto"/>
      </w:pPr>
      <w:r>
        <w:drawing>
          <wp:inline distT="0" distB="0" distL="114300" distR="114300">
            <wp:extent cx="5266690" cy="2567940"/>
            <wp:effectExtent l="0" t="0" r="10160" b="3810"/>
            <wp:docPr id="4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4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申报成功，根据页面提示跳转至缴款界面完成费款缴纳。</w:t>
      </w:r>
    </w:p>
    <w:p>
      <w:pPr>
        <w:spacing w:before="156" w:beforeLines="50" w:after="156" w:afterLines="50" w:line="360" w:lineRule="auto"/>
      </w:pPr>
      <w:r>
        <w:drawing>
          <wp:inline distT="0" distB="0" distL="114300" distR="114300">
            <wp:extent cx="5273675" cy="2480945"/>
            <wp:effectExtent l="0" t="0" r="3175" b="1460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480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若申报完成后未缴款，可通过【我要办税】-【税费申报及缴纳】-【税（费）缴纳】-【税费缴纳】完成缴费。</w:t>
      </w:r>
    </w:p>
    <w:p>
      <w:r>
        <w:drawing>
          <wp:inline distT="0" distB="0" distL="114300" distR="114300">
            <wp:extent cx="5266690" cy="2447925"/>
            <wp:effectExtent l="0" t="0" r="10160" b="9525"/>
            <wp:docPr id="42" name="图片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5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32" w:name="_Toc20841"/>
      <w:r>
        <w:rPr>
          <w:rFonts w:ascii="仿宋" w:hAnsi="仿宋" w:eastAsia="仿宋" w:cs="仿宋"/>
        </w:rPr>
        <w:t>7</w:t>
      </w:r>
      <w:r>
        <w:rPr>
          <w:rFonts w:hint="eastAsia" w:ascii="仿宋" w:hAnsi="仿宋" w:eastAsia="仿宋" w:cs="仿宋"/>
        </w:rPr>
        <w:t>.排污权出让收入申报</w:t>
      </w:r>
      <w:bookmarkEnd w:id="32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征收项目“排污权出让收入”，征收品目可选择为“排污权使用费”、“排污权交易费”、“排污权出让其他收入”。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操作流程同上。</w:t>
      </w: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33" w:name="_Toc10947"/>
      <w:r>
        <w:rPr>
          <w:rFonts w:ascii="仿宋" w:hAnsi="仿宋" w:eastAsia="仿宋" w:cs="仿宋"/>
        </w:rPr>
        <w:t>8</w:t>
      </w:r>
      <w:r>
        <w:rPr>
          <w:rFonts w:hint="eastAsia" w:ascii="仿宋" w:hAnsi="仿宋" w:eastAsia="仿宋" w:cs="仿宋"/>
        </w:rPr>
        <w:t>.</w:t>
      </w:r>
      <w:bookmarkStart w:id="34" w:name="_Toc17983"/>
      <w:r>
        <w:rPr>
          <w:rFonts w:hint="eastAsia" w:ascii="仿宋" w:hAnsi="仿宋" w:eastAsia="仿宋" w:cs="仿宋"/>
        </w:rPr>
        <w:t>可再生能源发展基金</w:t>
      </w:r>
      <w:bookmarkEnd w:id="34"/>
      <w:r>
        <w:rPr>
          <w:rFonts w:hint="eastAsia" w:ascii="仿宋" w:hAnsi="仿宋" w:eastAsia="仿宋" w:cs="仿宋"/>
        </w:rPr>
        <w:t>申报</w:t>
      </w:r>
      <w:bookmarkEnd w:id="33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征收项目“可再生能源发展基金”，征收品目可选择为“居民生活用电”、“其他用电”。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操作流程同上。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缴费</w:t>
      </w:r>
      <w:r>
        <w:rPr>
          <w:rFonts w:hint="eastAsia" w:ascii="仿宋" w:hAnsi="仿宋" w:eastAsia="仿宋" w:cs="仿宋"/>
          <w:sz w:val="32"/>
          <w:szCs w:val="32"/>
        </w:rPr>
        <w:t>人为代征企业，需填写电力类非税收入明细信息采集表。</w:t>
      </w:r>
    </w:p>
    <w:p>
      <w:pPr>
        <w:spacing w:line="360" w:lineRule="auto"/>
      </w:pPr>
      <w:r>
        <w:drawing>
          <wp:inline distT="0" distB="0" distL="114300" distR="114300">
            <wp:extent cx="5266690" cy="2567940"/>
            <wp:effectExtent l="0" t="0" r="10160" b="3810"/>
            <wp:docPr id="4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1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</w:pP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35" w:name="_Toc13335"/>
      <w:r>
        <w:rPr>
          <w:rFonts w:ascii="仿宋" w:hAnsi="仿宋" w:eastAsia="仿宋" w:cs="仿宋"/>
        </w:rPr>
        <w:t>9</w:t>
      </w:r>
      <w:r>
        <w:rPr>
          <w:rFonts w:hint="eastAsia" w:ascii="仿宋" w:hAnsi="仿宋" w:eastAsia="仿宋" w:cs="仿宋"/>
        </w:rPr>
        <w:t>.大中型水库移民后期扶持基金申报</w:t>
      </w:r>
      <w:bookmarkEnd w:id="35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征收项目“大中型水库移民后期扶持基金”，征收品目可选择为“大中型水库移民后期扶持基金”、“滞纳金”。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操作流程同上。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缴费</w:t>
      </w:r>
      <w:r>
        <w:rPr>
          <w:rFonts w:hint="eastAsia" w:ascii="仿宋" w:hAnsi="仿宋" w:eastAsia="仿宋" w:cs="仿宋"/>
          <w:sz w:val="32"/>
          <w:szCs w:val="32"/>
        </w:rPr>
        <w:t>人为代征企业，需填写电力类非税收入明细信息采集表。</w:t>
      </w: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36" w:name="_Toc14562"/>
      <w:r>
        <w:rPr>
          <w:rFonts w:ascii="仿宋" w:hAnsi="仿宋" w:eastAsia="仿宋" w:cs="仿宋"/>
        </w:rPr>
        <w:t>10</w:t>
      </w:r>
      <w:r>
        <w:rPr>
          <w:rFonts w:hint="eastAsia" w:ascii="仿宋" w:hAnsi="仿宋" w:eastAsia="仿宋" w:cs="仿宋"/>
        </w:rPr>
        <w:t>.国家重大水利工程建设基金收入申报</w:t>
      </w:r>
      <w:bookmarkEnd w:id="36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征收项目“国家重大水利工程建设基金收入”，征收品目可选择为“省级重大水利工程建设资金”。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操作流程同上。</w:t>
      </w:r>
    </w:p>
    <w:p>
      <w:pPr>
        <w:spacing w:line="360" w:lineRule="auto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注：若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缴费</w:t>
      </w:r>
      <w:r>
        <w:rPr>
          <w:rFonts w:hint="eastAsia" w:ascii="仿宋" w:hAnsi="仿宋" w:eastAsia="仿宋" w:cs="仿宋"/>
          <w:sz w:val="32"/>
          <w:szCs w:val="32"/>
        </w:rPr>
        <w:t>人为代征企业，需填写电力类非税收入明细信息采集表。</w:t>
      </w: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37" w:name="_Toc25952"/>
      <w:r>
        <w:rPr>
          <w:rFonts w:hint="eastAsia" w:ascii="仿宋" w:hAnsi="仿宋" w:eastAsia="仿宋" w:cs="仿宋"/>
        </w:rPr>
        <w:t>1</w:t>
      </w:r>
      <w:r>
        <w:rPr>
          <w:rFonts w:ascii="仿宋" w:hAnsi="仿宋" w:eastAsia="仿宋" w:cs="仿宋"/>
        </w:rPr>
        <w:t>1.</w:t>
      </w:r>
      <w:r>
        <w:rPr>
          <w:rFonts w:hint="eastAsia" w:ascii="仿宋" w:hAnsi="仿宋" w:eastAsia="仿宋" w:cs="仿宋"/>
        </w:rPr>
        <w:t>教育费附加</w:t>
      </w:r>
      <w:bookmarkEnd w:id="37"/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教育费附加合并到增值税及附加税中进行申报。</w:t>
      </w:r>
    </w:p>
    <w:p>
      <w:pPr>
        <w:pStyle w:val="3"/>
        <w:spacing w:before="312" w:beforeLines="100" w:after="156" w:afterLines="50" w:line="360" w:lineRule="auto"/>
        <w:rPr>
          <w:rFonts w:ascii="仿宋" w:hAnsi="仿宋" w:eastAsia="仿宋" w:cs="仿宋"/>
        </w:rPr>
      </w:pPr>
      <w:bookmarkStart w:id="38" w:name="_Toc6072"/>
      <w:r>
        <w:rPr>
          <w:rFonts w:hint="eastAsia" w:ascii="仿宋" w:hAnsi="仿宋" w:eastAsia="仿宋" w:cs="仿宋"/>
        </w:rPr>
        <w:t>1</w:t>
      </w:r>
      <w:r>
        <w:rPr>
          <w:rFonts w:ascii="仿宋" w:hAnsi="仿宋" w:eastAsia="仿宋" w:cs="仿宋"/>
        </w:rPr>
        <w:t>2.</w:t>
      </w:r>
      <w:r>
        <w:rPr>
          <w:rFonts w:hint="eastAsia" w:ascii="仿宋" w:hAnsi="仿宋" w:eastAsia="仿宋" w:cs="仿宋"/>
        </w:rPr>
        <w:t>地方教育费附加</w:t>
      </w:r>
      <w:bookmarkEnd w:id="38"/>
    </w:p>
    <w:p>
      <w:pPr>
        <w:ind w:firstLine="640" w:firstLineChars="200"/>
        <w:rPr>
          <w:rFonts w:hint="eastAsia"/>
        </w:rPr>
      </w:pPr>
      <w:r>
        <w:rPr>
          <w:rFonts w:hint="eastAsia" w:ascii="仿宋" w:hAnsi="仿宋" w:eastAsia="仿宋" w:cs="仿宋"/>
          <w:sz w:val="32"/>
          <w:szCs w:val="32"/>
        </w:rPr>
        <w:t>地方教育费附加合并到增值税及附加税中进行申报。</w:t>
      </w:r>
    </w:p>
    <w:p>
      <w:pPr>
        <w:rPr>
          <w:rFonts w:hint="eastAsia"/>
        </w:rPr>
      </w:pPr>
    </w:p>
    <w:p>
      <w:pPr>
        <w:pStyle w:val="2"/>
        <w:numPr>
          <w:ilvl w:val="0"/>
          <w:numId w:val="0"/>
        </w:numPr>
        <w:spacing w:before="312" w:beforeLines="100" w:after="156" w:afterLines="50" w:line="360" w:lineRule="auto"/>
        <w:ind w:left="420" w:leftChars="0"/>
        <w:rPr>
          <w:rFonts w:ascii="仿宋" w:hAnsi="仿宋" w:eastAsia="仿宋" w:cs="仿宋"/>
          <w:b w:val="0"/>
          <w:sz w:val="32"/>
          <w:szCs w:val="32"/>
        </w:rPr>
      </w:pPr>
      <w:bookmarkStart w:id="39" w:name="_Toc24555"/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完税证明开具及查询</w:t>
      </w:r>
      <w:bookmarkEnd w:id="39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首页点击【我要办税】-【证明开具】-【</w:t>
      </w:r>
      <w:r>
        <w:fldChar w:fldCharType="begin"/>
      </w:r>
      <w:r>
        <w:instrText xml:space="preserve"> HYPERLINK "https://etax.ningxia.chinatax.gov.cn/sword?ctrl=LnGdsPortalCtrl_initPageln&amp;gnlj=https://etax.ningxia.chinatax.gov.cn/sword?ctrl=ZS258NspzzkBkbNewCtrl_initFssrtypjView&amp;59233&amp;sDate=1640913212625&amp;rUUID=&amp;menu_url=https://etax.ningxia.chinatax.gov.cn/sword?ctrl=LnGdsPortalCtrl_dkgns&amp;gnmc=wybs&amp;gndm=CS51000100099997&amp;gnbt=%E8%AF%81%E6%98%8E%E5%BC%80%E5%85%B7&amp;menu_caption=%E8%AF%81%E6%98%8E%E5%BC%80%E5%85%B7&amp;func_url=https://etax.ningxia.chinatax.gov.cn/sword?ctrl=ZS258NspzzkBkbNewCtrl_initFssrtypjView&amp;59233&amp;sDate=1640913212625&amp;rUUID=&amp;func_caption=%E5%BC%80%E5%85%B7%E4%B8%AD%E5%A4%AE%E9%9D%9E%E7%A8%8E%E6%94%B6%E5%85%A5%E7%BB%9F%E4%B8%80%E7%A5%A8%E6%8D%AE&amp;gndm=CS51000100000413" </w:instrText>
      </w:r>
      <w:r>
        <w:fldChar w:fldCharType="separate"/>
      </w:r>
      <w:r>
        <w:rPr>
          <w:rFonts w:hint="eastAsia" w:ascii="仿宋" w:hAnsi="仿宋" w:eastAsia="仿宋" w:cs="仿宋"/>
          <w:sz w:val="32"/>
          <w:szCs w:val="32"/>
        </w:rPr>
        <w:t>开具中央非税收入统一票据</w:t>
      </w:r>
      <w:r>
        <w:rPr>
          <w:rFonts w:hint="eastAsia" w:ascii="仿宋" w:hAnsi="仿宋" w:eastAsia="仿宋" w:cs="仿宋"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sz w:val="32"/>
          <w:szCs w:val="32"/>
        </w:rPr>
        <w:t>】进入页面。</w:t>
      </w:r>
    </w:p>
    <w:p>
      <w:pPr>
        <w:spacing w:line="360" w:lineRule="auto"/>
      </w:pPr>
      <w:r>
        <w:drawing>
          <wp:inline distT="0" distB="0" distL="114300" distR="114300">
            <wp:extent cx="5267325" cy="2593340"/>
            <wp:effectExtent l="0" t="0" r="9525" b="16510"/>
            <wp:docPr id="28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3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93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选择费款所属期起止及开具类型，点击右侧【查询】，勾选查询到的信息点击下方【开具】，开具成功进行下载打印即可。</w:t>
      </w:r>
      <w:bookmarkStart w:id="42" w:name="_GoBack"/>
      <w:bookmarkEnd w:id="42"/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6690" cy="2592070"/>
            <wp:effectExtent l="0" t="0" r="10160" b="17780"/>
            <wp:docPr id="15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2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若已开具未下载，可在首页点击【我要查询】-【证明信息查询】-【税收完税（费）证明查询】-【电子完税证明查询（新）】进入页面。</w:t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4785" cy="2592070"/>
            <wp:effectExtent l="0" t="0" r="12065" b="17780"/>
            <wp:docPr id="29" name="图片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4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选择页面的填发日期及凭证开具种类，点击后方【查询】，查询到信息后点击【下载】进行查看打印。</w:t>
      </w:r>
    </w:p>
    <w:p>
      <w:pPr>
        <w:spacing w:line="360" w:lineRule="auto"/>
      </w:pPr>
      <w:r>
        <w:drawing>
          <wp:inline distT="0" distB="0" distL="114300" distR="114300">
            <wp:extent cx="5267325" cy="2592070"/>
            <wp:effectExtent l="0" t="0" r="9525" b="17780"/>
            <wp:docPr id="18" name="图片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5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0"/>
        </w:numPr>
        <w:spacing w:before="312" w:beforeLines="100" w:after="156" w:afterLines="50" w:line="360" w:lineRule="auto"/>
        <w:ind w:left="420" w:leftChars="0"/>
        <w:rPr>
          <w:rFonts w:ascii="黑体" w:hAnsi="黑体" w:eastAsia="黑体" w:cs="黑体"/>
          <w:sz w:val="32"/>
          <w:szCs w:val="32"/>
        </w:rPr>
      </w:pPr>
      <w:bookmarkStart w:id="40" w:name="_Toc5523"/>
      <w:r>
        <w:rPr>
          <w:rFonts w:hint="eastAsia" w:ascii="黑体" w:hAnsi="黑体" w:eastAsia="黑体" w:cs="黑体"/>
          <w:sz w:val="32"/>
          <w:szCs w:val="32"/>
          <w:lang w:eastAsia="zh-CN"/>
        </w:rPr>
        <w:t>五、</w:t>
      </w:r>
      <w:r>
        <w:rPr>
          <w:rFonts w:hint="eastAsia" w:ascii="黑体" w:hAnsi="黑体" w:eastAsia="黑体" w:cs="黑体"/>
          <w:sz w:val="32"/>
          <w:szCs w:val="32"/>
        </w:rPr>
        <w:t>申报信息查询</w:t>
      </w:r>
      <w:bookmarkEnd w:id="40"/>
    </w:p>
    <w:p>
      <w:pPr>
        <w:spacing w:line="360" w:lineRule="auto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首页点击【我要查询】-【申报信息查询】，进入【申报信息查询（新）】页面。</w:t>
      </w:r>
    </w:p>
    <w:p>
      <w:pPr>
        <w:spacing w:line="360" w:lineRule="auto"/>
      </w:pPr>
      <w:r>
        <w:drawing>
          <wp:inline distT="0" distB="0" distL="114300" distR="114300">
            <wp:extent cx="5266690" cy="2592070"/>
            <wp:effectExtent l="0" t="0" r="10160" b="17780"/>
            <wp:docPr id="20" name="图片 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7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选择申报日期起止或切换为税款所属期起止进行查询。查询到信息后可进行导出或打印，若未缴纳费款，也可点击后方缴款完成缴纳。</w:t>
      </w:r>
    </w:p>
    <w:p>
      <w:pPr>
        <w:spacing w:line="360" w:lineRule="auto"/>
      </w:pPr>
      <w:r>
        <w:drawing>
          <wp:inline distT="0" distB="0" distL="114300" distR="114300">
            <wp:extent cx="5266690" cy="2592070"/>
            <wp:effectExtent l="0" t="0" r="10160" b="17780"/>
            <wp:docPr id="21" name="图片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8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0"/>
        </w:numPr>
        <w:spacing w:before="312" w:beforeLines="100" w:after="156" w:afterLines="50" w:line="360" w:lineRule="auto"/>
        <w:ind w:left="420" w:leftChars="0"/>
        <w:rPr>
          <w:rFonts w:ascii="黑体" w:hAnsi="黑体" w:eastAsia="黑体" w:cs="黑体"/>
          <w:sz w:val="32"/>
          <w:szCs w:val="32"/>
        </w:rPr>
      </w:pPr>
      <w:bookmarkStart w:id="41" w:name="_Toc1543"/>
      <w:r>
        <w:rPr>
          <w:rFonts w:hint="eastAsia" w:ascii="黑体" w:hAnsi="黑体" w:eastAsia="黑体" w:cs="黑体"/>
          <w:sz w:val="32"/>
          <w:szCs w:val="32"/>
          <w:lang w:eastAsia="zh-CN"/>
        </w:rPr>
        <w:t>六、</w:t>
      </w:r>
      <w:r>
        <w:rPr>
          <w:rFonts w:hint="eastAsia" w:ascii="黑体" w:hAnsi="黑体" w:eastAsia="黑体" w:cs="黑体"/>
          <w:sz w:val="32"/>
          <w:szCs w:val="32"/>
        </w:rPr>
        <w:t>申报作废</w:t>
      </w:r>
      <w:bookmarkEnd w:id="41"/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首页点击【我要办税】-【税费申报及缴纳】-【申报更正】-【申报作废】进入页面。</w:t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drawing>
          <wp:inline distT="0" distB="0" distL="114300" distR="114300">
            <wp:extent cx="5262880" cy="2592070"/>
            <wp:effectExtent l="0" t="0" r="13970" b="17780"/>
            <wp:docPr id="22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选择申报日期或所属时期起止，点击左上角【查询】。勾选查询到的申报数据信息，点击【作废】，即可作废成功。</w:t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5266690" cy="2592070"/>
            <wp:effectExtent l="0" t="0" r="10160" b="17780"/>
            <wp:docPr id="37" name="图片 37" descr="2021-12-31_10520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 descr="2021-12-31_1052011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92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5266690" cy="2592070"/>
            <wp:effectExtent l="0" t="0" r="10160" b="17780"/>
            <wp:docPr id="38" name="图片 38" descr="2021-12-31_10530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 descr="2021-12-31_1053051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92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 w:line="360" w:lineRule="auto"/>
        <w:ind w:firstLine="321" w:firstLineChars="1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温馨提示：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1、仅限于已申报未缴款的申报表可通过该功能完成作废。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由行政主管部门核定</w:t>
      </w:r>
      <w:r>
        <w:rPr>
          <w:rFonts w:hint="eastAsia" w:ascii="仿宋" w:hAnsi="仿宋" w:eastAsia="仿宋" w:cs="仿宋"/>
          <w:sz w:val="32"/>
          <w:szCs w:val="32"/>
        </w:rPr>
        <w:t>采集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费源的费</w:t>
      </w:r>
      <w:r>
        <w:rPr>
          <w:rFonts w:hint="eastAsia" w:ascii="仿宋" w:hAnsi="仿宋" w:eastAsia="仿宋" w:cs="仿宋"/>
          <w:sz w:val="32"/>
          <w:szCs w:val="32"/>
        </w:rPr>
        <w:t>种，需要联系行政部门修改费源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数据信息，才能再次申报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cMibgsAgAAV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FwyJu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6889AD0"/>
    <w:multiLevelType w:val="singleLevel"/>
    <w:tmpl w:val="86889AD0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1">
    <w:nsid w:val="9BD5862C"/>
    <w:multiLevelType w:val="singleLevel"/>
    <w:tmpl w:val="9BD5862C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AFADAF7C"/>
    <w:multiLevelType w:val="singleLevel"/>
    <w:tmpl w:val="AFADAF7C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B70F5C0A"/>
    <w:multiLevelType w:val="singleLevel"/>
    <w:tmpl w:val="B70F5C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4">
    <w:nsid w:val="113A24BE"/>
    <w:multiLevelType w:val="singleLevel"/>
    <w:tmpl w:val="113A24BE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5">
    <w:nsid w:val="61CD573E"/>
    <w:multiLevelType w:val="singleLevel"/>
    <w:tmpl w:val="61CD573E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  <w:b/>
        <w:bCs/>
      </w:rPr>
    </w:lvl>
  </w:abstractNum>
  <w:abstractNum w:abstractNumId="6">
    <w:nsid w:val="61CD75B5"/>
    <w:multiLevelType w:val="singleLevel"/>
    <w:tmpl w:val="61CD75B5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Q5ZjJjNGU2ZjMwNjJjNDNkMjU3MmYwY2Q3YTRlNDgifQ=="/>
  </w:docVars>
  <w:rsids>
    <w:rsidRoot w:val="7DAC07B0"/>
    <w:rsid w:val="002D009F"/>
    <w:rsid w:val="00592258"/>
    <w:rsid w:val="0082098C"/>
    <w:rsid w:val="00AF1822"/>
    <w:rsid w:val="00AF46D3"/>
    <w:rsid w:val="00D51FD6"/>
    <w:rsid w:val="00E505DB"/>
    <w:rsid w:val="00F75ED4"/>
    <w:rsid w:val="017A1E9A"/>
    <w:rsid w:val="03291B41"/>
    <w:rsid w:val="055346EC"/>
    <w:rsid w:val="062260D2"/>
    <w:rsid w:val="06697105"/>
    <w:rsid w:val="06746C6E"/>
    <w:rsid w:val="0684719B"/>
    <w:rsid w:val="06927621"/>
    <w:rsid w:val="080F6B2A"/>
    <w:rsid w:val="09461023"/>
    <w:rsid w:val="09D17A99"/>
    <w:rsid w:val="0A6B5CC8"/>
    <w:rsid w:val="0A913A9D"/>
    <w:rsid w:val="0D5F281D"/>
    <w:rsid w:val="0E4D009B"/>
    <w:rsid w:val="0E5434E9"/>
    <w:rsid w:val="0FAC01C6"/>
    <w:rsid w:val="10861954"/>
    <w:rsid w:val="10B552AB"/>
    <w:rsid w:val="10BE4BE1"/>
    <w:rsid w:val="10F073C8"/>
    <w:rsid w:val="112A1C33"/>
    <w:rsid w:val="11347BF6"/>
    <w:rsid w:val="113661DC"/>
    <w:rsid w:val="11B60016"/>
    <w:rsid w:val="12990BD5"/>
    <w:rsid w:val="131C20FB"/>
    <w:rsid w:val="149F7E44"/>
    <w:rsid w:val="14E62812"/>
    <w:rsid w:val="15C8478D"/>
    <w:rsid w:val="15F335E7"/>
    <w:rsid w:val="17196E9F"/>
    <w:rsid w:val="17206215"/>
    <w:rsid w:val="19527026"/>
    <w:rsid w:val="1A2802C7"/>
    <w:rsid w:val="1AF74DDB"/>
    <w:rsid w:val="1B6D3D97"/>
    <w:rsid w:val="1BF470FF"/>
    <w:rsid w:val="1D1C46A4"/>
    <w:rsid w:val="1DC35406"/>
    <w:rsid w:val="1DFD50C3"/>
    <w:rsid w:val="1EE83585"/>
    <w:rsid w:val="226B2A88"/>
    <w:rsid w:val="22FD7853"/>
    <w:rsid w:val="23EF352D"/>
    <w:rsid w:val="24CA1AB6"/>
    <w:rsid w:val="277C3E78"/>
    <w:rsid w:val="281B5806"/>
    <w:rsid w:val="2B4219C0"/>
    <w:rsid w:val="2BD941AB"/>
    <w:rsid w:val="2DE2072E"/>
    <w:rsid w:val="2DFA5D97"/>
    <w:rsid w:val="2E291E44"/>
    <w:rsid w:val="2E511CB7"/>
    <w:rsid w:val="2F5A49A6"/>
    <w:rsid w:val="30CB225C"/>
    <w:rsid w:val="31707EBE"/>
    <w:rsid w:val="317830AA"/>
    <w:rsid w:val="31952AE0"/>
    <w:rsid w:val="32A54370"/>
    <w:rsid w:val="32BC3287"/>
    <w:rsid w:val="34627E5E"/>
    <w:rsid w:val="356533FB"/>
    <w:rsid w:val="35D74827"/>
    <w:rsid w:val="3A23359B"/>
    <w:rsid w:val="3A3335E0"/>
    <w:rsid w:val="3AC8012E"/>
    <w:rsid w:val="3BA9043B"/>
    <w:rsid w:val="3BAE3FFE"/>
    <w:rsid w:val="3BFD46FA"/>
    <w:rsid w:val="3CB52AF5"/>
    <w:rsid w:val="3CE4167E"/>
    <w:rsid w:val="3D0D04A8"/>
    <w:rsid w:val="3D163CE8"/>
    <w:rsid w:val="3D22018A"/>
    <w:rsid w:val="3D4D0550"/>
    <w:rsid w:val="3F3C14C8"/>
    <w:rsid w:val="3FD80FD4"/>
    <w:rsid w:val="406C6BEF"/>
    <w:rsid w:val="419E624E"/>
    <w:rsid w:val="427F4544"/>
    <w:rsid w:val="43A37B4B"/>
    <w:rsid w:val="43B6038C"/>
    <w:rsid w:val="4427077C"/>
    <w:rsid w:val="45BE2A1A"/>
    <w:rsid w:val="46716BB1"/>
    <w:rsid w:val="46BF4C9C"/>
    <w:rsid w:val="47685334"/>
    <w:rsid w:val="47814FC3"/>
    <w:rsid w:val="4AB85F3D"/>
    <w:rsid w:val="4AD41F7B"/>
    <w:rsid w:val="4ADD453A"/>
    <w:rsid w:val="4B0650C8"/>
    <w:rsid w:val="4B42104F"/>
    <w:rsid w:val="4C902A10"/>
    <w:rsid w:val="4CC5165B"/>
    <w:rsid w:val="4D620C85"/>
    <w:rsid w:val="4E397499"/>
    <w:rsid w:val="508B5BEF"/>
    <w:rsid w:val="50BF7883"/>
    <w:rsid w:val="50C63FE3"/>
    <w:rsid w:val="50E45D26"/>
    <w:rsid w:val="51FC4FF6"/>
    <w:rsid w:val="546926EB"/>
    <w:rsid w:val="56C836F9"/>
    <w:rsid w:val="57064221"/>
    <w:rsid w:val="58E217B7"/>
    <w:rsid w:val="5A452889"/>
    <w:rsid w:val="5C117324"/>
    <w:rsid w:val="5CB2741D"/>
    <w:rsid w:val="5CDB4CA6"/>
    <w:rsid w:val="5D683E4C"/>
    <w:rsid w:val="5E401132"/>
    <w:rsid w:val="5E4E114F"/>
    <w:rsid w:val="5ED61133"/>
    <w:rsid w:val="608F502C"/>
    <w:rsid w:val="612E33FE"/>
    <w:rsid w:val="620149E5"/>
    <w:rsid w:val="62584621"/>
    <w:rsid w:val="62ED70EE"/>
    <w:rsid w:val="637B111B"/>
    <w:rsid w:val="64CF09C9"/>
    <w:rsid w:val="64EF09EB"/>
    <w:rsid w:val="64EF2635"/>
    <w:rsid w:val="65916A45"/>
    <w:rsid w:val="66093EE0"/>
    <w:rsid w:val="66A97436"/>
    <w:rsid w:val="68F14D31"/>
    <w:rsid w:val="69265523"/>
    <w:rsid w:val="6D5F4469"/>
    <w:rsid w:val="6E6204D0"/>
    <w:rsid w:val="6F6059A3"/>
    <w:rsid w:val="6F6C7332"/>
    <w:rsid w:val="703F3477"/>
    <w:rsid w:val="70983CE4"/>
    <w:rsid w:val="71D8541E"/>
    <w:rsid w:val="73866E2E"/>
    <w:rsid w:val="75306BE1"/>
    <w:rsid w:val="75AF561F"/>
    <w:rsid w:val="774A2EC6"/>
    <w:rsid w:val="774C132B"/>
    <w:rsid w:val="77843214"/>
    <w:rsid w:val="77C43FF1"/>
    <w:rsid w:val="79E75A94"/>
    <w:rsid w:val="7C547783"/>
    <w:rsid w:val="7D6871C3"/>
    <w:rsid w:val="7DAC07B0"/>
    <w:rsid w:val="7DB5057D"/>
    <w:rsid w:val="7E450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qFormat/>
    <w:uiPriority w:val="39"/>
    <w:pPr>
      <w:ind w:left="840" w:leftChars="4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toc 1"/>
    <w:basedOn w:val="1"/>
    <w:next w:val="1"/>
    <w:qFormat/>
    <w:uiPriority w:val="39"/>
  </w:style>
  <w:style w:type="paragraph" w:styleId="9">
    <w:name w:val="toc 2"/>
    <w:basedOn w:val="1"/>
    <w:next w:val="1"/>
    <w:qFormat/>
    <w:uiPriority w:val="39"/>
    <w:pPr>
      <w:ind w:left="420" w:leftChars="200"/>
    </w:pPr>
  </w:style>
  <w:style w:type="character" w:styleId="12">
    <w:name w:val="Hyperlink"/>
    <w:basedOn w:val="11"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8" Type="http://schemas.openxmlformats.org/officeDocument/2006/relationships/fontTable" Target="fontTable.xml"/><Relationship Id="rId47" Type="http://schemas.openxmlformats.org/officeDocument/2006/relationships/customXml" Target="../customXml/item2.xml"/><Relationship Id="rId46" Type="http://schemas.openxmlformats.org/officeDocument/2006/relationships/numbering" Target="numbering.xml"/><Relationship Id="rId45" Type="http://schemas.openxmlformats.org/officeDocument/2006/relationships/customXml" Target="../customXml/item1.xml"/><Relationship Id="rId44" Type="http://schemas.openxmlformats.org/officeDocument/2006/relationships/image" Target="media/image40.png"/><Relationship Id="rId43" Type="http://schemas.openxmlformats.org/officeDocument/2006/relationships/image" Target="media/image39.png"/><Relationship Id="rId42" Type="http://schemas.openxmlformats.org/officeDocument/2006/relationships/image" Target="media/image38.png"/><Relationship Id="rId41" Type="http://schemas.openxmlformats.org/officeDocument/2006/relationships/image" Target="media/image37.png"/><Relationship Id="rId40" Type="http://schemas.openxmlformats.org/officeDocument/2006/relationships/image" Target="media/image36.png"/><Relationship Id="rId4" Type="http://schemas.openxmlformats.org/officeDocument/2006/relationships/theme" Target="theme/theme1.xml"/><Relationship Id="rId39" Type="http://schemas.openxmlformats.org/officeDocument/2006/relationships/image" Target="media/image35.png"/><Relationship Id="rId38" Type="http://schemas.openxmlformats.org/officeDocument/2006/relationships/image" Target="media/image34.png"/><Relationship Id="rId37" Type="http://schemas.openxmlformats.org/officeDocument/2006/relationships/image" Target="media/image33.png"/><Relationship Id="rId36" Type="http://schemas.openxmlformats.org/officeDocument/2006/relationships/image" Target="media/image32.png"/><Relationship Id="rId35" Type="http://schemas.openxmlformats.org/officeDocument/2006/relationships/image" Target="media/image31.png"/><Relationship Id="rId34" Type="http://schemas.openxmlformats.org/officeDocument/2006/relationships/image" Target="media/image30.png"/><Relationship Id="rId33" Type="http://schemas.openxmlformats.org/officeDocument/2006/relationships/image" Target="media/image29.png"/><Relationship Id="rId32" Type="http://schemas.openxmlformats.org/officeDocument/2006/relationships/image" Target="media/image28.png"/><Relationship Id="rId31" Type="http://schemas.openxmlformats.org/officeDocument/2006/relationships/image" Target="media/image27.png"/><Relationship Id="rId30" Type="http://schemas.openxmlformats.org/officeDocument/2006/relationships/image" Target="media/image26.png"/><Relationship Id="rId3" Type="http://schemas.openxmlformats.org/officeDocument/2006/relationships/footer" Target="footer1.xml"/><Relationship Id="rId29" Type="http://schemas.openxmlformats.org/officeDocument/2006/relationships/image" Target="media/image25.png"/><Relationship Id="rId28" Type="http://schemas.openxmlformats.org/officeDocument/2006/relationships/image" Target="media/image24.png"/><Relationship Id="rId27" Type="http://schemas.openxmlformats.org/officeDocument/2006/relationships/image" Target="media/image23.png"/><Relationship Id="rId26" Type="http://schemas.openxmlformats.org/officeDocument/2006/relationships/image" Target="media/image22.png"/><Relationship Id="rId25" Type="http://schemas.openxmlformats.org/officeDocument/2006/relationships/image" Target="media/image21.png"/><Relationship Id="rId24" Type="http://schemas.openxmlformats.org/officeDocument/2006/relationships/image" Target="media/image20.png"/><Relationship Id="rId23" Type="http://schemas.openxmlformats.org/officeDocument/2006/relationships/image" Target="media/image19.png"/><Relationship Id="rId22" Type="http://schemas.openxmlformats.org/officeDocument/2006/relationships/image" Target="media/image18.png"/><Relationship Id="rId21" Type="http://schemas.openxmlformats.org/officeDocument/2006/relationships/image" Target="media/image17.png"/><Relationship Id="rId20" Type="http://schemas.openxmlformats.org/officeDocument/2006/relationships/image" Target="media/image16.png"/><Relationship Id="rId2" Type="http://schemas.openxmlformats.org/officeDocument/2006/relationships/settings" Target="settings.xml"/><Relationship Id="rId19" Type="http://schemas.openxmlformats.org/officeDocument/2006/relationships/image" Target="media/image15.png"/><Relationship Id="rId18" Type="http://schemas.openxmlformats.org/officeDocument/2006/relationships/image" Target="media/image14.png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4B1AE3-7167-41D3-8F04-7987BCA6C38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27</Pages>
  <Words>3968</Words>
  <Characters>3348</Characters>
  <Lines>27</Lines>
  <Paragraphs>14</Paragraphs>
  <TotalTime>19</TotalTime>
  <ScaleCrop>false</ScaleCrop>
  <LinksUpToDate>false</LinksUpToDate>
  <CharactersWithSpaces>7302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2022-07-25T03:34:00Z</dcterms:created>
  <dc:creator>wl</dc:creator>
  <cp:lastModifiedBy>张利峰</cp:lastModifiedBy>
  <dcterms:modified xsi:type="dcterms:W3CDTF">2022-08-04T02:08:08Z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45994E7E98DE450885ACD8B461BD50F3</vt:lpwstr>
  </property>
</Properties>
</file>