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ascii="黑体" w:hAnsi="黑体" w:eastAsia="黑体" w:cs="黑体"/>
          <w:color w:val="000000"/>
          <w:sz w:val="32"/>
          <w:szCs w:val="32"/>
        </w:rPr>
        <w:t>2</w:t>
      </w:r>
    </w:p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eastAsia="zh-CN"/>
        </w:rPr>
        <w:t>局贺兰县</w:t>
      </w: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92" w:tblpY="378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BD70E5A"/>
    <w:rsid w:val="67251571"/>
    <w:rsid w:val="692E5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周艺</cp:lastModifiedBy>
  <cp:lastPrinted>2009-03-23T06:28:00Z</cp:lastPrinted>
  <dcterms:modified xsi:type="dcterms:W3CDTF">2020-01-08T03:30:00Z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